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96140" w14:textId="3151C2D1" w:rsidR="00FB6C5D" w:rsidRPr="00AF0295" w:rsidRDefault="00FB6C5D" w:rsidP="00FB6C5D">
      <w:pPr>
        <w:pStyle w:val="3GPPHeader"/>
        <w:spacing w:after="0"/>
        <w:rPr>
          <w:color w:val="000000" w:themeColor="text1"/>
          <w:szCs w:val="24"/>
          <w:lang w:val="en-US"/>
        </w:rPr>
      </w:pPr>
      <w:r w:rsidRPr="00AF0295">
        <w:rPr>
          <w:color w:val="000000" w:themeColor="text1"/>
          <w:szCs w:val="24"/>
        </w:rPr>
        <w:t>3GPP TSG-RAN2 Meeting #</w:t>
      </w:r>
      <w:r w:rsidR="004741DA" w:rsidRPr="00AF0295">
        <w:rPr>
          <w:color w:val="000000" w:themeColor="text1"/>
          <w:szCs w:val="24"/>
        </w:rPr>
        <w:t>1</w:t>
      </w:r>
      <w:r w:rsidR="005E3794" w:rsidRPr="00AF0295">
        <w:rPr>
          <w:color w:val="000000" w:themeColor="text1"/>
          <w:szCs w:val="24"/>
        </w:rPr>
        <w:t>1</w:t>
      </w:r>
      <w:r w:rsidR="00A86359" w:rsidRPr="00AF0295">
        <w:rPr>
          <w:color w:val="000000" w:themeColor="text1"/>
          <w:szCs w:val="24"/>
        </w:rPr>
        <w:t>3</w:t>
      </w:r>
      <w:r w:rsidR="007F2F22" w:rsidRPr="00AF0295">
        <w:rPr>
          <w:color w:val="000000" w:themeColor="text1"/>
          <w:szCs w:val="24"/>
        </w:rPr>
        <w:t>bis-</w:t>
      </w:r>
      <w:r w:rsidR="00BE19EB" w:rsidRPr="00AF0295">
        <w:rPr>
          <w:color w:val="000000" w:themeColor="text1"/>
          <w:szCs w:val="24"/>
        </w:rPr>
        <w:t>e</w:t>
      </w:r>
      <w:r w:rsidRPr="00AF0295">
        <w:rPr>
          <w:color w:val="000000" w:themeColor="text1"/>
          <w:szCs w:val="24"/>
        </w:rPr>
        <w:tab/>
      </w:r>
      <w:r w:rsidR="004676FE" w:rsidRPr="00AF0295">
        <w:rPr>
          <w:color w:val="000000" w:themeColor="text1"/>
          <w:szCs w:val="24"/>
        </w:rPr>
        <w:t>R2-2</w:t>
      </w:r>
      <w:r w:rsidR="00A920F1" w:rsidRPr="00AF0295">
        <w:rPr>
          <w:color w:val="000000" w:themeColor="text1"/>
          <w:szCs w:val="24"/>
        </w:rPr>
        <w:t>103842</w:t>
      </w:r>
    </w:p>
    <w:p w14:paraId="6324B180" w14:textId="77777777" w:rsidR="00A920F1" w:rsidRPr="00AF0295" w:rsidRDefault="00A920F1" w:rsidP="00A920F1">
      <w:pPr>
        <w:tabs>
          <w:tab w:val="center" w:pos="4536"/>
          <w:tab w:val="right" w:pos="9072"/>
        </w:tabs>
        <w:rPr>
          <w:rFonts w:ascii="Times New Roman" w:eastAsia="MS Mincho" w:hAnsi="Times New Roman"/>
          <w:b/>
          <w:bCs/>
          <w:color w:val="000000" w:themeColor="text1"/>
          <w:sz w:val="24"/>
          <w:szCs w:val="24"/>
          <w:lang w:eastAsia="ja-JP"/>
        </w:rPr>
      </w:pPr>
      <w:r w:rsidRPr="00AF0295">
        <w:rPr>
          <w:rFonts w:ascii="Times New Roman" w:eastAsia="MS Mincho" w:hAnsi="Times New Roman"/>
          <w:b/>
          <w:bCs/>
          <w:color w:val="000000" w:themeColor="text1"/>
          <w:sz w:val="24"/>
          <w:szCs w:val="24"/>
          <w:lang w:eastAsia="ja-JP"/>
        </w:rPr>
        <w:t>e-Meeting, April 12</w:t>
      </w:r>
      <w:r w:rsidRPr="00AF0295">
        <w:rPr>
          <w:rFonts w:ascii="Times New Roman" w:eastAsia="MS Mincho" w:hAnsi="Times New Roman"/>
          <w:b/>
          <w:bCs/>
          <w:color w:val="000000" w:themeColor="text1"/>
          <w:sz w:val="24"/>
          <w:szCs w:val="24"/>
          <w:vertAlign w:val="superscript"/>
          <w:lang w:eastAsia="ja-JP"/>
        </w:rPr>
        <w:t>th</w:t>
      </w:r>
      <w:r w:rsidRPr="00AF0295">
        <w:rPr>
          <w:rFonts w:ascii="Times New Roman" w:eastAsia="MS Mincho" w:hAnsi="Times New Roman"/>
          <w:b/>
          <w:bCs/>
          <w:color w:val="000000" w:themeColor="text1"/>
          <w:sz w:val="24"/>
          <w:szCs w:val="24"/>
          <w:lang w:eastAsia="ja-JP"/>
        </w:rPr>
        <w:t xml:space="preserve"> – April 20</w:t>
      </w:r>
      <w:r w:rsidRPr="00AF0295">
        <w:rPr>
          <w:rFonts w:ascii="Times New Roman" w:eastAsia="MS Mincho" w:hAnsi="Times New Roman"/>
          <w:b/>
          <w:bCs/>
          <w:color w:val="000000" w:themeColor="text1"/>
          <w:sz w:val="24"/>
          <w:szCs w:val="24"/>
          <w:vertAlign w:val="superscript"/>
          <w:lang w:eastAsia="ja-JP"/>
        </w:rPr>
        <w:t>th</w:t>
      </w:r>
      <w:r w:rsidRPr="00AF0295">
        <w:rPr>
          <w:rFonts w:ascii="Times New Roman" w:eastAsia="MS Mincho" w:hAnsi="Times New Roman"/>
          <w:b/>
          <w:bCs/>
          <w:color w:val="000000" w:themeColor="text1"/>
          <w:sz w:val="24"/>
          <w:szCs w:val="24"/>
          <w:lang w:eastAsia="ja-JP"/>
        </w:rPr>
        <w:t>, 2021</w:t>
      </w:r>
    </w:p>
    <w:p w14:paraId="18C94194" w14:textId="77777777" w:rsidR="00120D47" w:rsidRPr="00AF0295" w:rsidRDefault="00120D47" w:rsidP="00120D47">
      <w:pPr>
        <w:pStyle w:val="3GPPHeader"/>
        <w:spacing w:after="0"/>
        <w:rPr>
          <w:color w:val="000000" w:themeColor="text1"/>
          <w:sz w:val="22"/>
        </w:rPr>
      </w:pPr>
      <w:r w:rsidRPr="00AF0295">
        <w:rPr>
          <w:color w:val="000000" w:themeColor="text1"/>
          <w:sz w:val="22"/>
        </w:rPr>
        <w:tab/>
      </w:r>
    </w:p>
    <w:p w14:paraId="7BE584AF" w14:textId="5AFCB883" w:rsidR="00120D47" w:rsidRPr="00AF0295" w:rsidRDefault="00120D47" w:rsidP="00F120D3">
      <w:pPr>
        <w:pStyle w:val="3GPPHeader"/>
        <w:spacing w:after="120"/>
        <w:rPr>
          <w:b w:val="0"/>
          <w:color w:val="000000" w:themeColor="text1"/>
          <w:szCs w:val="24"/>
          <w:lang w:val="en-US"/>
        </w:rPr>
      </w:pPr>
      <w:r w:rsidRPr="00AF0295">
        <w:rPr>
          <w:color w:val="000000" w:themeColor="text1"/>
          <w:szCs w:val="24"/>
          <w:lang w:val="en-US"/>
        </w:rPr>
        <w:t>Agenda Item:</w:t>
      </w:r>
      <w:r w:rsidRPr="00AF0295">
        <w:rPr>
          <w:color w:val="000000" w:themeColor="text1"/>
          <w:szCs w:val="24"/>
          <w:lang w:val="en-US"/>
        </w:rPr>
        <w:tab/>
      </w:r>
      <w:r w:rsidR="00351753" w:rsidRPr="00AF0295">
        <w:rPr>
          <w:bCs/>
          <w:color w:val="000000" w:themeColor="text1"/>
          <w:szCs w:val="24"/>
          <w:lang w:val="en-US"/>
        </w:rPr>
        <w:t>8.4.1</w:t>
      </w:r>
    </w:p>
    <w:p w14:paraId="32EC1329" w14:textId="41EE4C3D" w:rsidR="00437E7B" w:rsidRPr="00AF0295" w:rsidRDefault="00437E7B" w:rsidP="00437E7B">
      <w:pPr>
        <w:pStyle w:val="3GPPHeader"/>
        <w:spacing w:after="120"/>
        <w:rPr>
          <w:color w:val="000000" w:themeColor="text1"/>
          <w:szCs w:val="24"/>
          <w:lang w:val="en-US"/>
        </w:rPr>
      </w:pPr>
      <w:r w:rsidRPr="00AF0295">
        <w:rPr>
          <w:color w:val="000000" w:themeColor="text1"/>
          <w:szCs w:val="24"/>
          <w:lang w:val="en-US"/>
        </w:rPr>
        <w:t xml:space="preserve">Source: </w:t>
      </w:r>
      <w:r w:rsidRPr="00AF0295">
        <w:rPr>
          <w:color w:val="000000" w:themeColor="text1"/>
          <w:szCs w:val="24"/>
          <w:lang w:val="en-US"/>
        </w:rPr>
        <w:tab/>
      </w:r>
      <w:r w:rsidR="00B902EA" w:rsidRPr="00AF0295">
        <w:rPr>
          <w:color w:val="000000" w:themeColor="text1"/>
          <w:szCs w:val="24"/>
          <w:lang w:val="en-US"/>
        </w:rPr>
        <w:t>Apple Inc</w:t>
      </w:r>
    </w:p>
    <w:p w14:paraId="66A1FC6E" w14:textId="1C378A5A" w:rsidR="008B6436" w:rsidRPr="00AF0295" w:rsidRDefault="00120D47" w:rsidP="00F120D3">
      <w:pPr>
        <w:pStyle w:val="3GPPHeader"/>
        <w:spacing w:after="120"/>
        <w:rPr>
          <w:bCs/>
          <w:color w:val="000000" w:themeColor="text1"/>
          <w:szCs w:val="24"/>
          <w:lang w:val="en-US"/>
        </w:rPr>
      </w:pPr>
      <w:r w:rsidRPr="00AF0295">
        <w:rPr>
          <w:color w:val="000000" w:themeColor="text1"/>
          <w:szCs w:val="24"/>
          <w:lang w:val="en-US"/>
        </w:rPr>
        <w:t xml:space="preserve">Title:  </w:t>
      </w:r>
      <w:r w:rsidRPr="00AF0295">
        <w:rPr>
          <w:color w:val="000000" w:themeColor="text1"/>
          <w:szCs w:val="24"/>
          <w:lang w:val="en-US"/>
        </w:rPr>
        <w:tab/>
      </w:r>
      <w:r w:rsidR="00B11385" w:rsidRPr="00AF0295">
        <w:rPr>
          <w:bCs/>
          <w:color w:val="000000" w:themeColor="text1"/>
          <w:szCs w:val="24"/>
          <w:lang w:val="en-US"/>
        </w:rPr>
        <w:t>On UE L2 re-ordering buffer size concerns in IAB Networks</w:t>
      </w:r>
    </w:p>
    <w:p w14:paraId="1D061440" w14:textId="77777777" w:rsidR="00120D47" w:rsidRPr="00AF0295" w:rsidRDefault="00120D47" w:rsidP="00120D47">
      <w:pPr>
        <w:pStyle w:val="3GPPHeader"/>
        <w:rPr>
          <w:b w:val="0"/>
          <w:bCs/>
          <w:color w:val="000000" w:themeColor="text1"/>
          <w:szCs w:val="24"/>
          <w:lang w:val="en-US"/>
        </w:rPr>
      </w:pPr>
      <w:r w:rsidRPr="00AF0295">
        <w:rPr>
          <w:color w:val="000000" w:themeColor="text1"/>
          <w:szCs w:val="24"/>
          <w:lang w:val="en-US"/>
        </w:rPr>
        <w:t>Document for:</w:t>
      </w:r>
      <w:r w:rsidRPr="00AF0295">
        <w:rPr>
          <w:color w:val="000000" w:themeColor="text1"/>
          <w:szCs w:val="24"/>
          <w:lang w:val="en-US"/>
        </w:rPr>
        <w:tab/>
        <w:t>Discussion and Decision</w:t>
      </w:r>
    </w:p>
    <w:p w14:paraId="0D43AB34" w14:textId="072C1B69" w:rsidR="00120D47" w:rsidRPr="00AF0295" w:rsidRDefault="007700CC" w:rsidP="00120D47">
      <w:pPr>
        <w:pStyle w:val="Heading1"/>
        <w:rPr>
          <w:rFonts w:ascii="Times New Roman" w:hAnsi="Times New Roman" w:cs="Times New Roman"/>
          <w:color w:val="000000" w:themeColor="text1"/>
          <w:sz w:val="36"/>
        </w:rPr>
      </w:pPr>
      <w:r w:rsidRPr="00AF0295">
        <w:rPr>
          <w:rFonts w:ascii="Times New Roman" w:hAnsi="Times New Roman" w:cs="Times New Roman"/>
          <w:color w:val="000000" w:themeColor="text1"/>
          <w:sz w:val="36"/>
        </w:rPr>
        <w:t>Background</w:t>
      </w:r>
    </w:p>
    <w:p w14:paraId="13A436FC" w14:textId="59C8DEE9" w:rsidR="00CC1A11" w:rsidRPr="00AF0295" w:rsidRDefault="00DF4333" w:rsidP="00CC1A11">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bookmarkStart w:id="0" w:name="_Toc242573354"/>
      <w:r w:rsidRPr="00AF0295">
        <w:rPr>
          <w:rFonts w:ascii="Times New Roman" w:hAnsi="Times New Roman"/>
          <w:color w:val="000000" w:themeColor="text1"/>
          <w:sz w:val="24"/>
          <w:szCs w:val="24"/>
          <w:lang w:eastAsia="en-GB"/>
        </w:rPr>
        <w:t>The IAB protocols and operation are transparent to the UE</w:t>
      </w:r>
      <w:r w:rsidR="007A4D33">
        <w:rPr>
          <w:rFonts w:ascii="Times New Roman" w:hAnsi="Times New Roman"/>
          <w:color w:val="000000" w:themeColor="text1"/>
          <w:sz w:val="24"/>
          <w:szCs w:val="24"/>
          <w:lang w:eastAsia="en-GB"/>
        </w:rPr>
        <w:t xml:space="preserve"> as discussed since the beginning of Rel-16</w:t>
      </w:r>
      <w:r w:rsidR="00E45476">
        <w:rPr>
          <w:rFonts w:ascii="Times New Roman" w:hAnsi="Times New Roman"/>
          <w:color w:val="000000" w:themeColor="text1"/>
          <w:sz w:val="24"/>
          <w:szCs w:val="24"/>
          <w:lang w:eastAsia="en-GB"/>
        </w:rPr>
        <w:t xml:space="preserve">, </w:t>
      </w:r>
      <w:r w:rsidRPr="00AF0295">
        <w:rPr>
          <w:rFonts w:ascii="Times New Roman" w:hAnsi="Times New Roman"/>
          <w:color w:val="000000" w:themeColor="text1"/>
          <w:sz w:val="24"/>
          <w:szCs w:val="24"/>
          <w:lang w:eastAsia="en-GB"/>
        </w:rPr>
        <w:t xml:space="preserve">i.e., a UE has no knowledge that it is </w:t>
      </w:r>
      <w:r w:rsidR="00A1310F">
        <w:rPr>
          <w:rFonts w:ascii="Times New Roman" w:hAnsi="Times New Roman"/>
          <w:color w:val="000000" w:themeColor="text1"/>
          <w:sz w:val="24"/>
          <w:szCs w:val="24"/>
          <w:lang w:eastAsia="en-GB"/>
        </w:rPr>
        <w:t xml:space="preserve">being </w:t>
      </w:r>
      <w:r w:rsidRPr="00AF0295">
        <w:rPr>
          <w:rFonts w:ascii="Times New Roman" w:hAnsi="Times New Roman"/>
          <w:color w:val="000000" w:themeColor="text1"/>
          <w:sz w:val="24"/>
          <w:szCs w:val="24"/>
          <w:lang w:eastAsia="en-GB"/>
        </w:rPr>
        <w:t>served by an IAB node</w:t>
      </w:r>
      <w:r w:rsidR="00626A89" w:rsidRPr="00AF0295">
        <w:rPr>
          <w:rFonts w:ascii="Times New Roman" w:hAnsi="Times New Roman"/>
          <w:color w:val="000000" w:themeColor="text1"/>
          <w:sz w:val="24"/>
          <w:szCs w:val="24"/>
        </w:rPr>
        <w:t xml:space="preserve">. </w:t>
      </w:r>
      <w:r w:rsidR="00AB0EC7" w:rsidRPr="00AF0295">
        <w:rPr>
          <w:rFonts w:ascii="Times New Roman" w:hAnsi="Times New Roman"/>
          <w:color w:val="000000" w:themeColor="text1"/>
          <w:sz w:val="24"/>
          <w:szCs w:val="24"/>
        </w:rPr>
        <w:t xml:space="preserve"> </w:t>
      </w:r>
      <w:r w:rsidRPr="00AF0295">
        <w:rPr>
          <w:rFonts w:ascii="Times New Roman" w:hAnsi="Times New Roman"/>
          <w:color w:val="000000" w:themeColor="text1"/>
          <w:sz w:val="24"/>
          <w:szCs w:val="24"/>
        </w:rPr>
        <w:t xml:space="preserve">In IAB network architecture, </w:t>
      </w:r>
      <w:r w:rsidRPr="00AF0295">
        <w:rPr>
          <w:rFonts w:ascii="Times New Roman" w:hAnsi="Times New Roman"/>
          <w:color w:val="000000" w:themeColor="text1"/>
          <w:sz w:val="24"/>
          <w:szCs w:val="24"/>
          <w:lang w:eastAsia="en-GB"/>
        </w:rPr>
        <w:t>(a) each backhaul link terminates at the RLC layer, and (b) a Backhaul Adaptation Protocol (BAP) layer is introduced to manage routing of data for multiple UEs and bearers in the network.</w:t>
      </w:r>
      <w:r w:rsidR="00CC1A11" w:rsidRPr="00AF0295">
        <w:rPr>
          <w:rFonts w:ascii="Times New Roman" w:hAnsi="Times New Roman"/>
          <w:color w:val="000000" w:themeColor="text1"/>
          <w:sz w:val="24"/>
          <w:szCs w:val="24"/>
          <w:lang w:eastAsia="en-GB"/>
        </w:rPr>
        <w:t xml:space="preserve"> Given that the data traverses multiple RLC links, it can experience increased delays. The delays in the data path can have a significant impact on the UE complexity and performance. The L2 buffer in the UE is used to allow for reordering of data received out-of-order at the UE. It is dimensioned based on the RLC round trip time (RTT). The RLC RTT is assumed to be 20, 30, 40 or 50 ms (depending on the sub-carrier spacing) for the NR data path. The required L2 buffer is essentially a product of the data rate and the RLC RTT. IAB is intended to be able to support very high peak data rates (in particular, the backhaul links are expected to use FR2 and operate at a high SINR due to lack of mobility).</w:t>
      </w:r>
    </w:p>
    <w:p w14:paraId="05E974F4" w14:textId="60E05AB0" w:rsidR="007A0A8B" w:rsidRPr="00AF0295" w:rsidRDefault="00CC1A11" w:rsidP="00212F14">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AF0295">
        <w:rPr>
          <w:rFonts w:ascii="Times New Roman" w:hAnsi="Times New Roman"/>
          <w:color w:val="000000" w:themeColor="text1"/>
          <w:sz w:val="24"/>
          <w:szCs w:val="24"/>
          <w:lang w:eastAsia="en-GB"/>
        </w:rPr>
        <w:t xml:space="preserve">In this discussion, we present out views on why the current standards are insufficient in terms of UE L2 buffer designs in context of IAB networks and can cause detrimental impacts to the UE thereby causing performance impacts to the user. </w:t>
      </w:r>
    </w:p>
    <w:p w14:paraId="5F979A7E" w14:textId="77777777" w:rsidR="00485D61" w:rsidRPr="00AF0295" w:rsidRDefault="00485D61" w:rsidP="00485D61">
      <w:pPr>
        <w:pStyle w:val="ListParagraph"/>
        <w:ind w:left="0"/>
        <w:jc w:val="both"/>
        <w:rPr>
          <w:rFonts w:ascii="Times New Roman" w:hAnsi="Times New Roman"/>
          <w:color w:val="000000" w:themeColor="text1"/>
        </w:rPr>
      </w:pPr>
    </w:p>
    <w:bookmarkEnd w:id="0"/>
    <w:p w14:paraId="1DEB3AB7" w14:textId="099F0690" w:rsidR="00FA27C0" w:rsidRPr="00AF0295" w:rsidRDefault="000A6DC3" w:rsidP="00FA27C0">
      <w:pPr>
        <w:pStyle w:val="Heading1"/>
        <w:rPr>
          <w:rFonts w:ascii="Times New Roman" w:hAnsi="Times New Roman" w:cs="Times New Roman"/>
          <w:color w:val="000000" w:themeColor="text1"/>
          <w:sz w:val="36"/>
        </w:rPr>
      </w:pPr>
      <w:r w:rsidRPr="00AF0295">
        <w:rPr>
          <w:rFonts w:ascii="Times New Roman" w:hAnsi="Times New Roman" w:cs="Times New Roman"/>
          <w:color w:val="000000" w:themeColor="text1"/>
          <w:sz w:val="36"/>
        </w:rPr>
        <w:t>Discussion</w:t>
      </w:r>
    </w:p>
    <w:p w14:paraId="0C012470" w14:textId="21C3D644" w:rsidR="00F57D1D" w:rsidRPr="00501511" w:rsidRDefault="00F57D1D" w:rsidP="00F57D1D">
      <w:pPr>
        <w:pStyle w:val="Heading2"/>
        <w:rPr>
          <w:color w:val="000000" w:themeColor="text1"/>
          <w:szCs w:val="24"/>
        </w:rPr>
      </w:pPr>
      <w:r w:rsidRPr="00501511">
        <w:rPr>
          <w:color w:val="000000" w:themeColor="text1"/>
          <w:szCs w:val="24"/>
        </w:rPr>
        <w:t xml:space="preserve">Increased proportion of out-of-order packets and insufficient L2 buffer sizes </w:t>
      </w:r>
    </w:p>
    <w:p w14:paraId="1E7F8009" w14:textId="77777777" w:rsidR="00F57D1D" w:rsidRPr="0073463C" w:rsidRDefault="00CC1A11" w:rsidP="00AD5C0D">
      <w:pPr>
        <w:ind w:firstLine="432"/>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The required L2 buffer size (described in TS 38.306) at the UE for NR standalone operation without Dual Connectivity is computed as: </w:t>
      </w:r>
    </w:p>
    <w:p w14:paraId="0B03D912" w14:textId="1C5F95F7" w:rsidR="00AD5C0D" w:rsidRPr="0073463C" w:rsidRDefault="00CC1A11" w:rsidP="00AF0295">
      <w:pPr>
        <w:ind w:firstLine="432"/>
        <w:jc w:val="center"/>
        <w:rPr>
          <w:rFonts w:ascii="Times New Roman" w:hAnsi="Times New Roman"/>
          <w:color w:val="000000" w:themeColor="text1"/>
          <w:sz w:val="24"/>
          <w:szCs w:val="24"/>
          <w:lang w:val="en-GB" w:eastAsia="zh-CN"/>
        </w:rPr>
      </w:pPr>
      <w:r w:rsidRPr="0073463C">
        <w:rPr>
          <w:rFonts w:ascii="Times New Roman" w:hAnsi="Times New Roman"/>
          <w:noProof/>
          <w:color w:val="000000" w:themeColor="text1"/>
          <w:position w:val="-1"/>
          <w:sz w:val="24"/>
          <w:szCs w:val="24"/>
          <w:lang w:eastAsia="en-GB"/>
        </w:rPr>
        <w:drawing>
          <wp:inline distT="0" distB="0" distL="0" distR="0" wp14:anchorId="23AD730B" wp14:editId="16B683F9">
            <wp:extent cx="4036695" cy="10414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6695" cy="104140"/>
                    </a:xfrm>
                    <a:prstGeom prst="rect">
                      <a:avLst/>
                    </a:prstGeom>
                    <a:noFill/>
                    <a:ln>
                      <a:noFill/>
                    </a:ln>
                  </pic:spPr>
                </pic:pic>
              </a:graphicData>
            </a:graphic>
          </wp:inline>
        </w:drawing>
      </w:r>
    </w:p>
    <w:p w14:paraId="3F21AB52" w14:textId="5078A1AE" w:rsidR="00F57D1D" w:rsidRPr="0073463C" w:rsidRDefault="00F57D1D" w:rsidP="00F57D1D">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The RLC RTT assumed is 50, 40, 30 or 20 ms for sub-carrier spacings 15, 30, 60 and 120 kHz respectively. In an IAB setting, the effective RTT (as seen at the RLC-PDCP interface at the UE) can be significantly higher; in </w:t>
      </w:r>
      <w:r w:rsidR="00AF0295" w:rsidRPr="0073463C">
        <w:rPr>
          <w:rFonts w:ascii="Times New Roman" w:hAnsi="Times New Roman"/>
          <w:color w:val="000000" w:themeColor="text1"/>
          <w:sz w:val="24"/>
          <w:szCs w:val="24"/>
          <w:lang w:eastAsia="en-GB"/>
        </w:rPr>
        <w:t>general,</w:t>
      </w:r>
      <w:r w:rsidRPr="0073463C">
        <w:rPr>
          <w:rFonts w:ascii="Times New Roman" w:hAnsi="Times New Roman"/>
          <w:color w:val="000000" w:themeColor="text1"/>
          <w:sz w:val="24"/>
          <w:szCs w:val="24"/>
          <w:lang w:eastAsia="en-GB"/>
        </w:rPr>
        <w:t xml:space="preserve"> it can be a multiple of the RLC RTT assumed in TS 38.306. A UE designed based on the standardized RLC RTT values can experience buffer overflows in an </w:t>
      </w:r>
      <w:r w:rsidRPr="0073463C">
        <w:rPr>
          <w:rFonts w:ascii="Times New Roman" w:hAnsi="Times New Roman"/>
          <w:color w:val="000000" w:themeColor="text1"/>
          <w:sz w:val="24"/>
          <w:szCs w:val="24"/>
          <w:lang w:eastAsia="en-GB"/>
        </w:rPr>
        <w:lastRenderedPageBreak/>
        <w:t>IAB network. This results in packets dropped by the UE even when radio conditions are fine, resulting in reduction of data rate, lower spectral efficiency and overall a broad compromise of the goals of IAB.</w:t>
      </w:r>
    </w:p>
    <w:p w14:paraId="600B6E7F" w14:textId="77777777" w:rsidR="00F57D1D" w:rsidRPr="0073463C" w:rsidRDefault="00F57D1D" w:rsidP="00224EEE">
      <w:pPr>
        <w:autoSpaceDE w:val="0"/>
        <w:autoSpaceDN w:val="0"/>
        <w:adjustRightInd w:val="0"/>
        <w:spacing w:after="80" w:line="288" w:lineRule="auto"/>
        <w:ind w:firstLine="432"/>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If the UE supports dual connectivity (EN-DC or NR-DC), the required L2 buffer size depends on max data rates expected via the MN and SN, and the RLC RTT depends on inter-nodeB (X2/Xn) delays in addition to the SCS specific RTT values. </w:t>
      </w:r>
    </w:p>
    <w:p w14:paraId="319AF20D" w14:textId="77777777" w:rsidR="00F57D1D" w:rsidRPr="0073463C" w:rsidRDefault="00F57D1D" w:rsidP="00224EEE">
      <w:pPr>
        <w:autoSpaceDE w:val="0"/>
        <w:autoSpaceDN w:val="0"/>
        <w:adjustRightInd w:val="0"/>
        <w:spacing w:after="80" w:line="288" w:lineRule="auto"/>
        <w:ind w:firstLine="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The general approach to dimensioning the L2 buffer is based on the worst case; i.e., it is based on the max data rate and the highest RLC RTT. However, this can be inadequate in various situations. </w:t>
      </w:r>
    </w:p>
    <w:p w14:paraId="2044B67D" w14:textId="77777777" w:rsidR="00F57D1D" w:rsidRPr="0073463C" w:rsidRDefault="00F57D1D" w:rsidP="00F57D1D">
      <w:pPr>
        <w:numPr>
          <w:ilvl w:val="0"/>
          <w:numId w:val="9"/>
        </w:numPr>
        <w:tabs>
          <w:tab w:val="left" w:pos="20"/>
          <w:tab w:val="left" w:pos="165"/>
        </w:tabs>
        <w:autoSpaceDE w:val="0"/>
        <w:autoSpaceDN w:val="0"/>
        <w:adjustRightInd w:val="0"/>
        <w:spacing w:after="80" w:line="288" w:lineRule="auto"/>
        <w:ind w:left="165" w:hanging="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Consider for example, a UE designed to operate only in FR1. Such a UE could connect to an IAB node, which is supported by backhaul links that use FR2. The L2 buffer is dimensioned based on 40 ms RTT (assuming 30 kHz SCS); however each backhaul link based on FR2 nominally adds 20 ms RTT. </w:t>
      </w:r>
    </w:p>
    <w:p w14:paraId="0719A41E" w14:textId="77777777" w:rsidR="00F57D1D" w:rsidRPr="0073463C" w:rsidRDefault="00F57D1D" w:rsidP="00F57D1D">
      <w:pPr>
        <w:numPr>
          <w:ilvl w:val="0"/>
          <w:numId w:val="9"/>
        </w:numPr>
        <w:tabs>
          <w:tab w:val="left" w:pos="20"/>
          <w:tab w:val="left" w:pos="165"/>
        </w:tabs>
        <w:autoSpaceDE w:val="0"/>
        <w:autoSpaceDN w:val="0"/>
        <w:adjustRightInd w:val="0"/>
        <w:spacing w:after="80" w:line="288" w:lineRule="auto"/>
        <w:ind w:left="165" w:hanging="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Furthermore, a UE designed to operate only in FR1 with NR standalone could connect to an IAB node that operates in non-standalone mode (see right side of Fig-1). This implies a significantly longer RTT to the IAB node due to the X2/Xn delays, which the UE is not aware of or designed for (specifically, it results in a further increase of 55 ms).</w:t>
      </w:r>
    </w:p>
    <w:p w14:paraId="7DB9CA0B" w14:textId="77777777" w:rsidR="00F57D1D" w:rsidRPr="0073463C" w:rsidRDefault="00F57D1D" w:rsidP="00F57D1D">
      <w:pPr>
        <w:numPr>
          <w:ilvl w:val="0"/>
          <w:numId w:val="9"/>
        </w:numPr>
        <w:tabs>
          <w:tab w:val="left" w:pos="20"/>
          <w:tab w:val="left" w:pos="165"/>
        </w:tabs>
        <w:autoSpaceDE w:val="0"/>
        <w:autoSpaceDN w:val="0"/>
        <w:adjustRightInd w:val="0"/>
        <w:spacing w:after="80" w:line="288" w:lineRule="auto"/>
        <w:ind w:left="165" w:hanging="16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Consider a UE designed to operate in NR-DC mode with split bearers. In this case, the buffer sizing depends on the larger of:</w:t>
      </w:r>
    </w:p>
    <w:p w14:paraId="5B88FC35" w14:textId="77777777" w:rsidR="00F57D1D" w:rsidRPr="0073463C" w:rsidRDefault="00F57D1D" w:rsidP="00F57D1D">
      <w:pPr>
        <w:numPr>
          <w:ilvl w:val="1"/>
          <w:numId w:val="9"/>
        </w:numPr>
        <w:tabs>
          <w:tab w:val="left" w:pos="180"/>
          <w:tab w:val="left" w:pos="345"/>
        </w:tabs>
        <w:autoSpaceDE w:val="0"/>
        <w:autoSpaceDN w:val="0"/>
        <w:adjustRightInd w:val="0"/>
        <w:spacing w:after="80" w:line="288" w:lineRule="auto"/>
        <w:ind w:left="345" w:hanging="34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The data rate-delay product of the MN data rate and SN RLC RTT plus the X2/Xn delay, and</w:t>
      </w:r>
    </w:p>
    <w:p w14:paraId="314072F8" w14:textId="77777777" w:rsidR="00F57D1D" w:rsidRPr="0073463C" w:rsidRDefault="00F57D1D" w:rsidP="00F57D1D">
      <w:pPr>
        <w:numPr>
          <w:ilvl w:val="1"/>
          <w:numId w:val="9"/>
        </w:numPr>
        <w:tabs>
          <w:tab w:val="left" w:pos="180"/>
          <w:tab w:val="left" w:pos="345"/>
        </w:tabs>
        <w:autoSpaceDE w:val="0"/>
        <w:autoSpaceDN w:val="0"/>
        <w:adjustRightInd w:val="0"/>
        <w:spacing w:after="80" w:line="288" w:lineRule="auto"/>
        <w:ind w:left="345" w:hanging="34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The data rate delay product of the SN data rate and MN RLC RTT plus the X2/Xn delay.</w:t>
      </w:r>
    </w:p>
    <w:p w14:paraId="10875549" w14:textId="77777777" w:rsidR="00F57D1D" w:rsidRPr="0073463C" w:rsidRDefault="00F57D1D" w:rsidP="00224EEE">
      <w:pPr>
        <w:autoSpaceDE w:val="0"/>
        <w:autoSpaceDN w:val="0"/>
        <w:adjustRightInd w:val="0"/>
        <w:spacing w:after="80" w:line="288" w:lineRule="auto"/>
        <w:ind w:firstLine="34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Suppose the latter is larger. If the MN node is additionally composed of an IAB path, the actual RTT and correspondingly the required L2 buffer can be significantly larger.</w:t>
      </w:r>
    </w:p>
    <w:p w14:paraId="3F38027A" w14:textId="77777777" w:rsidR="00595087" w:rsidRPr="0073463C" w:rsidRDefault="00595087" w:rsidP="00595087">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Each backhaul link is subject to HARQ operation with all the available HARQ processes. HARQ operation implies that packets that arrive at the transmitting side in a particular sequence may not be received at the receiving side in the same sequence. A packet arriving first mapped to a first TB may  be successfully received after two or three HARQ transmissions, but a packet arriving second mapped to a second TB may be successfully received after a single HARQ transmission.</w:t>
      </w:r>
    </w:p>
    <w:p w14:paraId="62C3D544" w14:textId="278FC54A" w:rsidR="00595087" w:rsidRPr="0073463C" w:rsidRDefault="00595087" w:rsidP="0073463C">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Such variation of received packet order can also occur on the traditional Uu link; however, in an IAB network, such reordering can occur at every backhaul link. Consider the following (simplistic) analysis. Assume that the probability of successfully receiving a TB after 1, 2, 3 or 4 HARQ transmissions is 0.9, 0.99, 0.999 and 0.9999 respectively. Suppose packets with sequence numbers SN#1 and SN#2 are mapped to TB1 and TB2, with TB1 transmitted before TB2. In order for for SN#2 to be received before SN#1, the number of HARQ transmissions for successful reception of TB1 and TB2 respectively can be any of the following pairs:  </w:t>
      </w:r>
      <w:r w:rsidRPr="0073463C">
        <w:rPr>
          <w:rFonts w:ascii="Times New Roman" w:hAnsi="Times New Roman"/>
          <w:noProof/>
          <w:color w:val="000000" w:themeColor="text1"/>
          <w:position w:val="-4"/>
          <w:sz w:val="24"/>
          <w:szCs w:val="24"/>
          <w:lang w:eastAsia="en-GB"/>
        </w:rPr>
        <w:lastRenderedPageBreak/>
        <w:drawing>
          <wp:inline distT="0" distB="0" distL="0" distR="0" wp14:anchorId="456E9ADE" wp14:editId="2C53C50B">
            <wp:extent cx="2007235" cy="1117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7235" cy="111760"/>
                    </a:xfrm>
                    <a:prstGeom prst="rect">
                      <a:avLst/>
                    </a:prstGeom>
                    <a:noFill/>
                    <a:ln>
                      <a:noFill/>
                    </a:ln>
                  </pic:spPr>
                </pic:pic>
              </a:graphicData>
            </a:graphic>
          </wp:inline>
        </w:drawing>
      </w:r>
      <w:r w:rsidRPr="0073463C">
        <w:rPr>
          <w:rFonts w:ascii="Times New Roman" w:hAnsi="Times New Roman"/>
          <w:color w:val="000000" w:themeColor="text1"/>
          <w:sz w:val="24"/>
          <w:szCs w:val="24"/>
          <w:lang w:eastAsia="en-GB"/>
        </w:rPr>
        <w:t xml:space="preserve">. </w:t>
      </w:r>
      <w:r w:rsidR="00AF0295" w:rsidRPr="0073463C">
        <w:rPr>
          <w:rFonts w:ascii="Times New Roman" w:hAnsi="Times New Roman"/>
          <w:color w:val="000000" w:themeColor="text1"/>
          <w:sz w:val="24"/>
          <w:szCs w:val="24"/>
          <w:lang w:eastAsia="en-GB"/>
        </w:rPr>
        <w:t>Thus,</w:t>
      </w:r>
      <w:r w:rsidRPr="0073463C">
        <w:rPr>
          <w:rFonts w:ascii="Times New Roman" w:hAnsi="Times New Roman"/>
          <w:color w:val="000000" w:themeColor="text1"/>
          <w:sz w:val="24"/>
          <w:szCs w:val="24"/>
          <w:lang w:eastAsia="en-GB"/>
        </w:rPr>
        <w:t xml:space="preserve"> the probability of out of order reception on a single link can be computed as the sum of the probabilities of each, resulting in an out of order reception probability of 0.09. </w:t>
      </w:r>
    </w:p>
    <w:p w14:paraId="0DD96E78" w14:textId="77777777" w:rsidR="00595087" w:rsidRPr="0073463C" w:rsidRDefault="00595087" w:rsidP="00AF0295">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If the data path has multiple links, each link can experience out of order packet reception due to HARQ, with the same probability. The probability of reordering after passing through all the links can be computed. For example, with 3 links as shown in Fig-2, the packets would be received out of order if either one of the links reorders the packets and the other two do not, or all three links reorder the packets. The probabilities estimated in this manner are shown in the table below. </w:t>
      </w:r>
    </w:p>
    <w:tbl>
      <w:tblPr>
        <w:tblW w:w="0" w:type="auto"/>
        <w:jc w:val="center"/>
        <w:tblBorders>
          <w:top w:val="nil"/>
          <w:left w:val="nil"/>
          <w:right w:val="nil"/>
        </w:tblBorders>
        <w:tblLayout w:type="fixed"/>
        <w:tblLook w:val="0000" w:firstRow="0" w:lastRow="0" w:firstColumn="0" w:lastColumn="0" w:noHBand="0" w:noVBand="0"/>
      </w:tblPr>
      <w:tblGrid>
        <w:gridCol w:w="1278"/>
        <w:gridCol w:w="2562"/>
      </w:tblGrid>
      <w:tr w:rsidR="00AF0295" w:rsidRPr="0073463C" w14:paraId="1FA2253A" w14:textId="77777777" w:rsidTr="00595087">
        <w:trPr>
          <w:jc w:val="center"/>
        </w:trPr>
        <w:tc>
          <w:tcPr>
            <w:tcW w:w="1278" w:type="dxa"/>
            <w:tcBorders>
              <w:top w:val="single" w:sz="24" w:space="0" w:color="5B5C5B"/>
              <w:left w:val="single" w:sz="24" w:space="0" w:color="5B5C5B"/>
              <w:bottom w:val="single" w:sz="8" w:space="0" w:color="020202"/>
              <w:right w:val="single" w:sz="8" w:space="0" w:color="020202"/>
            </w:tcBorders>
            <w:tcMar>
              <w:top w:w="80" w:type="nil"/>
              <w:left w:w="80" w:type="nil"/>
              <w:bottom w:w="80" w:type="nil"/>
              <w:right w:w="80" w:type="nil"/>
            </w:tcMar>
          </w:tcPr>
          <w:p w14:paraId="696FA01F"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b/>
                <w:bCs/>
                <w:color w:val="000000" w:themeColor="text1"/>
                <w:sz w:val="24"/>
                <w:szCs w:val="24"/>
                <w:lang w:eastAsia="en-GB"/>
              </w:rPr>
              <w:t>Number of links</w:t>
            </w:r>
          </w:p>
        </w:tc>
        <w:tc>
          <w:tcPr>
            <w:tcW w:w="2562" w:type="dxa"/>
            <w:tcBorders>
              <w:top w:val="single" w:sz="24" w:space="0" w:color="5B5C5B"/>
              <w:left w:val="single" w:sz="8" w:space="0" w:color="020202"/>
              <w:bottom w:val="single" w:sz="8" w:space="0" w:color="020202"/>
              <w:right w:val="single" w:sz="24" w:space="0" w:color="5B5C5B"/>
            </w:tcBorders>
            <w:tcMar>
              <w:top w:w="80" w:type="nil"/>
              <w:left w:w="80" w:type="nil"/>
              <w:bottom w:w="80" w:type="nil"/>
              <w:right w:w="80" w:type="nil"/>
            </w:tcMar>
          </w:tcPr>
          <w:p w14:paraId="7A5EBDBE"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b/>
                <w:bCs/>
                <w:color w:val="000000" w:themeColor="text1"/>
                <w:sz w:val="24"/>
                <w:szCs w:val="24"/>
                <w:lang w:eastAsia="en-GB"/>
              </w:rPr>
              <w:t>Probability of out of order reception</w:t>
            </w:r>
          </w:p>
        </w:tc>
      </w:tr>
      <w:tr w:rsidR="00AF0295" w:rsidRPr="0073463C" w14:paraId="7F1628BB" w14:textId="77777777" w:rsidTr="00595087">
        <w:tblPrEx>
          <w:tblBorders>
            <w:top w:val="none" w:sz="0" w:space="0" w:color="auto"/>
          </w:tblBorders>
        </w:tblPrEx>
        <w:trPr>
          <w:jc w:val="center"/>
        </w:trPr>
        <w:tc>
          <w:tcPr>
            <w:tcW w:w="1278" w:type="dxa"/>
            <w:tcBorders>
              <w:top w:val="single" w:sz="8" w:space="0" w:color="020202"/>
              <w:left w:val="single" w:sz="24" w:space="0" w:color="5B5C5B"/>
              <w:bottom w:val="single" w:sz="8" w:space="0" w:color="020202"/>
              <w:right w:val="single" w:sz="8" w:space="0" w:color="020202"/>
            </w:tcBorders>
            <w:tcMar>
              <w:top w:w="80" w:type="nil"/>
              <w:left w:w="80" w:type="nil"/>
              <w:bottom w:w="80" w:type="nil"/>
              <w:right w:w="80" w:type="nil"/>
            </w:tcMar>
          </w:tcPr>
          <w:p w14:paraId="2A7AD7A5"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1</w:t>
            </w:r>
          </w:p>
        </w:tc>
        <w:tc>
          <w:tcPr>
            <w:tcW w:w="2562" w:type="dxa"/>
            <w:tcBorders>
              <w:top w:val="single" w:sz="8" w:space="0" w:color="020202"/>
              <w:left w:val="single" w:sz="8" w:space="0" w:color="020202"/>
              <w:bottom w:val="single" w:sz="8" w:space="0" w:color="020202"/>
              <w:right w:val="single" w:sz="24" w:space="0" w:color="5B5C5B"/>
            </w:tcBorders>
            <w:tcMar>
              <w:top w:w="80" w:type="nil"/>
              <w:left w:w="80" w:type="nil"/>
              <w:bottom w:w="80" w:type="nil"/>
              <w:right w:w="80" w:type="nil"/>
            </w:tcMar>
          </w:tcPr>
          <w:p w14:paraId="45AFA9E9"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0.09</w:t>
            </w:r>
          </w:p>
        </w:tc>
      </w:tr>
      <w:tr w:rsidR="00AF0295" w:rsidRPr="0073463C" w14:paraId="023DC900" w14:textId="77777777" w:rsidTr="00595087">
        <w:tblPrEx>
          <w:tblBorders>
            <w:top w:val="none" w:sz="0" w:space="0" w:color="auto"/>
          </w:tblBorders>
        </w:tblPrEx>
        <w:trPr>
          <w:jc w:val="center"/>
        </w:trPr>
        <w:tc>
          <w:tcPr>
            <w:tcW w:w="1278" w:type="dxa"/>
            <w:tcBorders>
              <w:top w:val="single" w:sz="8" w:space="0" w:color="020202"/>
              <w:left w:val="single" w:sz="24" w:space="0" w:color="5B5C5B"/>
              <w:bottom w:val="single" w:sz="8" w:space="0" w:color="020202"/>
              <w:right w:val="single" w:sz="8" w:space="0" w:color="020202"/>
            </w:tcBorders>
            <w:shd w:val="clear" w:color="auto" w:fill="EBEBEB"/>
            <w:tcMar>
              <w:top w:w="80" w:type="nil"/>
              <w:left w:w="80" w:type="nil"/>
              <w:bottom w:w="80" w:type="nil"/>
              <w:right w:w="80" w:type="nil"/>
            </w:tcMar>
          </w:tcPr>
          <w:p w14:paraId="10258D04"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2</w:t>
            </w:r>
          </w:p>
        </w:tc>
        <w:tc>
          <w:tcPr>
            <w:tcW w:w="2562" w:type="dxa"/>
            <w:tcBorders>
              <w:top w:val="single" w:sz="8" w:space="0" w:color="020202"/>
              <w:left w:val="single" w:sz="8" w:space="0" w:color="020202"/>
              <w:bottom w:val="single" w:sz="8" w:space="0" w:color="020202"/>
              <w:right w:val="single" w:sz="24" w:space="0" w:color="5B5C5B"/>
            </w:tcBorders>
            <w:shd w:val="clear" w:color="auto" w:fill="EBEBEB"/>
            <w:tcMar>
              <w:top w:w="80" w:type="nil"/>
              <w:left w:w="80" w:type="nil"/>
              <w:bottom w:w="80" w:type="nil"/>
              <w:right w:w="80" w:type="nil"/>
            </w:tcMar>
          </w:tcPr>
          <w:p w14:paraId="0B9F8855"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0.17</w:t>
            </w:r>
          </w:p>
        </w:tc>
      </w:tr>
      <w:tr w:rsidR="00AF0295" w:rsidRPr="0073463C" w14:paraId="254E6AD1" w14:textId="77777777" w:rsidTr="00595087">
        <w:tblPrEx>
          <w:tblBorders>
            <w:top w:val="none" w:sz="0" w:space="0" w:color="auto"/>
          </w:tblBorders>
        </w:tblPrEx>
        <w:trPr>
          <w:jc w:val="center"/>
        </w:trPr>
        <w:tc>
          <w:tcPr>
            <w:tcW w:w="1278" w:type="dxa"/>
            <w:tcBorders>
              <w:top w:val="single" w:sz="8" w:space="0" w:color="020202"/>
              <w:left w:val="single" w:sz="24" w:space="0" w:color="5B5C5B"/>
              <w:bottom w:val="single" w:sz="8" w:space="0" w:color="020202"/>
              <w:right w:val="single" w:sz="8" w:space="0" w:color="020202"/>
            </w:tcBorders>
            <w:tcMar>
              <w:top w:w="80" w:type="nil"/>
              <w:left w:w="80" w:type="nil"/>
              <w:bottom w:w="80" w:type="nil"/>
              <w:right w:w="80" w:type="nil"/>
            </w:tcMar>
          </w:tcPr>
          <w:p w14:paraId="1754A73F"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3</w:t>
            </w:r>
          </w:p>
        </w:tc>
        <w:tc>
          <w:tcPr>
            <w:tcW w:w="2562" w:type="dxa"/>
            <w:tcBorders>
              <w:top w:val="single" w:sz="8" w:space="0" w:color="020202"/>
              <w:left w:val="single" w:sz="8" w:space="0" w:color="020202"/>
              <w:bottom w:val="single" w:sz="8" w:space="0" w:color="020202"/>
              <w:right w:val="single" w:sz="24" w:space="0" w:color="5B5C5B"/>
            </w:tcBorders>
            <w:tcMar>
              <w:top w:w="80" w:type="nil"/>
              <w:left w:w="80" w:type="nil"/>
              <w:bottom w:w="80" w:type="nil"/>
              <w:right w:w="80" w:type="nil"/>
            </w:tcMar>
          </w:tcPr>
          <w:p w14:paraId="25A0CFBE"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0.23</w:t>
            </w:r>
          </w:p>
        </w:tc>
      </w:tr>
      <w:tr w:rsidR="00AF0295" w:rsidRPr="0073463C" w14:paraId="73D467B7" w14:textId="77777777" w:rsidTr="00595087">
        <w:trPr>
          <w:jc w:val="center"/>
        </w:trPr>
        <w:tc>
          <w:tcPr>
            <w:tcW w:w="1278" w:type="dxa"/>
            <w:tcBorders>
              <w:top w:val="single" w:sz="8" w:space="0" w:color="020202"/>
              <w:left w:val="single" w:sz="24" w:space="0" w:color="5B5C5B"/>
              <w:bottom w:val="single" w:sz="24" w:space="0" w:color="5B5C5B"/>
              <w:right w:val="single" w:sz="8" w:space="0" w:color="020202"/>
            </w:tcBorders>
            <w:shd w:val="clear" w:color="auto" w:fill="EBEBEB"/>
            <w:tcMar>
              <w:top w:w="80" w:type="nil"/>
              <w:left w:w="80" w:type="nil"/>
              <w:bottom w:w="80" w:type="nil"/>
              <w:right w:w="80" w:type="nil"/>
            </w:tcMar>
          </w:tcPr>
          <w:p w14:paraId="4C648FA5"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4</w:t>
            </w:r>
          </w:p>
        </w:tc>
        <w:tc>
          <w:tcPr>
            <w:tcW w:w="2562" w:type="dxa"/>
            <w:tcBorders>
              <w:top w:val="single" w:sz="8" w:space="0" w:color="020202"/>
              <w:left w:val="single" w:sz="8" w:space="0" w:color="020202"/>
              <w:bottom w:val="single" w:sz="24" w:space="0" w:color="5B5C5B"/>
              <w:right w:val="single" w:sz="24" w:space="0" w:color="5B5C5B"/>
            </w:tcBorders>
            <w:shd w:val="clear" w:color="auto" w:fill="EBEBEB"/>
            <w:tcMar>
              <w:top w:w="80" w:type="nil"/>
              <w:left w:w="80" w:type="nil"/>
              <w:bottom w:w="80" w:type="nil"/>
              <w:right w:w="80" w:type="nil"/>
            </w:tcMar>
          </w:tcPr>
          <w:p w14:paraId="48E77DDD" w14:textId="77777777" w:rsidR="00595087" w:rsidRPr="0073463C" w:rsidRDefault="00595087">
            <w:pPr>
              <w:autoSpaceDE w:val="0"/>
              <w:autoSpaceDN w:val="0"/>
              <w:adjustRightInd w:val="0"/>
              <w:spacing w:after="0"/>
              <w:jc w:val="center"/>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0.27</w:t>
            </w:r>
          </w:p>
        </w:tc>
      </w:tr>
    </w:tbl>
    <w:p w14:paraId="16C48E67" w14:textId="77777777" w:rsidR="00595087" w:rsidRPr="0073463C" w:rsidRDefault="00595087" w:rsidP="00595087">
      <w:pPr>
        <w:autoSpaceDE w:val="0"/>
        <w:autoSpaceDN w:val="0"/>
        <w:adjustRightInd w:val="0"/>
        <w:spacing w:after="80" w:line="288" w:lineRule="auto"/>
        <w:jc w:val="both"/>
        <w:rPr>
          <w:rFonts w:ascii="Times New Roman" w:hAnsi="Times New Roman"/>
          <w:color w:val="000000" w:themeColor="text1"/>
          <w:sz w:val="24"/>
          <w:szCs w:val="24"/>
          <w:lang w:eastAsia="en-GB"/>
        </w:rPr>
      </w:pPr>
    </w:p>
    <w:p w14:paraId="369BCEEB" w14:textId="584CD642" w:rsidR="00595087" w:rsidRPr="0073463C" w:rsidRDefault="00595087" w:rsidP="0073463C">
      <w:pPr>
        <w:autoSpaceDE w:val="0"/>
        <w:autoSpaceDN w:val="0"/>
        <w:adjustRightInd w:val="0"/>
        <w:spacing w:after="80" w:line="288" w:lineRule="auto"/>
        <w:ind w:firstLine="720"/>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 xml:space="preserve">Out or order reception of packets can also occur in an IAB network due to the network topology. IAB nodes can use dual connectivity to connect to parent nodes, resulting in multiple data paths between a gNB and a UE. If data is transmitted to the UE over multiple paths, out of order reception of packets can occur due to different characteristics (resource allocation, data rates, number of links) on the different paths. </w:t>
      </w:r>
    </w:p>
    <w:p w14:paraId="125DD588" w14:textId="77777777" w:rsidR="00595087" w:rsidRPr="0073463C" w:rsidRDefault="00595087" w:rsidP="0073463C">
      <w:pPr>
        <w:autoSpaceDE w:val="0"/>
        <w:autoSpaceDN w:val="0"/>
        <w:adjustRightInd w:val="0"/>
        <w:spacing w:after="80" w:line="288" w:lineRule="auto"/>
        <w:ind w:firstLine="49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Thus, larger proportions of the data are expected to be received out of order as the number of links in the data path increase. This has two effects:</w:t>
      </w:r>
    </w:p>
    <w:p w14:paraId="34D572D0" w14:textId="77777777" w:rsidR="00595087" w:rsidRPr="0073463C" w:rsidRDefault="00595087" w:rsidP="00595087">
      <w:pPr>
        <w:numPr>
          <w:ilvl w:val="1"/>
          <w:numId w:val="9"/>
        </w:numPr>
        <w:tabs>
          <w:tab w:val="left" w:pos="20"/>
          <w:tab w:val="left" w:pos="495"/>
        </w:tabs>
        <w:autoSpaceDE w:val="0"/>
        <w:autoSpaceDN w:val="0"/>
        <w:adjustRightInd w:val="0"/>
        <w:spacing w:after="80" w:line="288" w:lineRule="auto"/>
        <w:ind w:left="495" w:hanging="49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The reordering buffer is more heavily used and larger number of packets have to be buffered. This can lead to drop of packets, which would result in retransmissions.</w:t>
      </w:r>
    </w:p>
    <w:p w14:paraId="1A08DD27" w14:textId="0FD6A3B8" w:rsidR="00F57D1D" w:rsidRPr="0073463C" w:rsidRDefault="00595087" w:rsidP="00AF0295">
      <w:pPr>
        <w:numPr>
          <w:ilvl w:val="1"/>
          <w:numId w:val="9"/>
        </w:numPr>
        <w:tabs>
          <w:tab w:val="left" w:pos="20"/>
          <w:tab w:val="left" w:pos="495"/>
        </w:tabs>
        <w:autoSpaceDE w:val="0"/>
        <w:autoSpaceDN w:val="0"/>
        <w:adjustRightInd w:val="0"/>
        <w:spacing w:after="80" w:line="288" w:lineRule="auto"/>
        <w:ind w:left="495" w:hanging="495"/>
        <w:jc w:val="both"/>
        <w:rPr>
          <w:rFonts w:ascii="Times New Roman" w:hAnsi="Times New Roman"/>
          <w:color w:val="000000" w:themeColor="text1"/>
          <w:sz w:val="24"/>
          <w:szCs w:val="24"/>
          <w:lang w:eastAsia="en-GB"/>
        </w:rPr>
      </w:pPr>
      <w:r w:rsidRPr="0073463C">
        <w:rPr>
          <w:rFonts w:ascii="Times New Roman" w:hAnsi="Times New Roman"/>
          <w:color w:val="000000" w:themeColor="text1"/>
          <w:sz w:val="24"/>
          <w:szCs w:val="24"/>
          <w:lang w:eastAsia="en-GB"/>
        </w:rPr>
        <w:t>It is experienced as increased latency since packets have to be held back until reordering is performed.</w:t>
      </w:r>
      <w:r w:rsidR="00F57D1D" w:rsidRPr="0073463C">
        <w:rPr>
          <w:rFonts w:ascii="Times New Roman" w:hAnsi="Times New Roman"/>
          <w:color w:val="000000" w:themeColor="text1"/>
          <w:sz w:val="24"/>
          <w:szCs w:val="24"/>
          <w:lang w:val="en-GB" w:eastAsia="zh-CN"/>
        </w:rPr>
        <w:tab/>
      </w:r>
    </w:p>
    <w:p w14:paraId="2997A24C" w14:textId="7D78CEFD" w:rsidR="00933789" w:rsidRDefault="00933789" w:rsidP="00933789">
      <w:pPr>
        <w:rPr>
          <w:rFonts w:ascii="Times New Roman" w:hAnsi="Times New Roman"/>
          <w:i/>
          <w:iCs/>
          <w:color w:val="000000" w:themeColor="text1"/>
          <w:sz w:val="24"/>
          <w:szCs w:val="24"/>
        </w:rPr>
      </w:pPr>
      <w:r w:rsidRPr="00AF0295">
        <w:rPr>
          <w:rFonts w:ascii="Times New Roman" w:hAnsi="Times New Roman"/>
          <w:b/>
          <w:bCs/>
          <w:i/>
          <w:iCs/>
          <w:color w:val="000000" w:themeColor="text1"/>
          <w:sz w:val="24"/>
          <w:szCs w:val="24"/>
          <w:u w:val="single"/>
        </w:rPr>
        <w:t>Observation 1:</w:t>
      </w:r>
      <w:r w:rsidRPr="00AF0295">
        <w:rPr>
          <w:rFonts w:ascii="Times New Roman" w:hAnsi="Times New Roman"/>
          <w:i/>
          <w:iCs/>
          <w:color w:val="000000" w:themeColor="text1"/>
          <w:sz w:val="24"/>
          <w:szCs w:val="24"/>
        </w:rPr>
        <w:t xml:space="preserve"> In their current state </w:t>
      </w:r>
      <w:r w:rsidR="00AF0295">
        <w:rPr>
          <w:rFonts w:ascii="Times New Roman" w:hAnsi="Times New Roman"/>
          <w:i/>
          <w:iCs/>
          <w:color w:val="000000" w:themeColor="text1"/>
          <w:sz w:val="24"/>
          <w:szCs w:val="24"/>
        </w:rPr>
        <w:t>based on 38.306, the L2 buffer sizes on the UE are insufficient to handle the multi-hop delay associated with IAB Networks</w:t>
      </w:r>
      <w:r w:rsidR="00BA16DC" w:rsidRPr="00AF0295">
        <w:rPr>
          <w:rFonts w:ascii="Times New Roman" w:hAnsi="Times New Roman"/>
          <w:i/>
          <w:iCs/>
          <w:color w:val="000000" w:themeColor="text1"/>
          <w:sz w:val="24"/>
          <w:szCs w:val="24"/>
        </w:rPr>
        <w:t>.</w:t>
      </w:r>
    </w:p>
    <w:p w14:paraId="1EA9B819" w14:textId="551D51E5" w:rsidR="00FF6AD0" w:rsidRDefault="00FF6AD0" w:rsidP="00224EEE">
      <w:pPr>
        <w:ind w:firstLine="720"/>
        <w:rPr>
          <w:rFonts w:ascii="Times New Roman" w:hAnsi="Times New Roman"/>
          <w:color w:val="000000" w:themeColor="text1"/>
          <w:sz w:val="24"/>
          <w:szCs w:val="24"/>
        </w:rPr>
      </w:pPr>
      <w:r>
        <w:rPr>
          <w:rFonts w:ascii="Times New Roman" w:hAnsi="Times New Roman"/>
          <w:color w:val="000000" w:themeColor="text1"/>
          <w:sz w:val="24"/>
          <w:szCs w:val="24"/>
        </w:rPr>
        <w:t xml:space="preserve">Given the serious constraints this latency has on the L2 buffer re-ordering, we have the following proposal for RAN2’s consideration. </w:t>
      </w:r>
    </w:p>
    <w:p w14:paraId="597F4E69" w14:textId="21D7671C" w:rsidR="00FF6AD0" w:rsidRPr="00FF6AD0" w:rsidRDefault="00FF6AD0" w:rsidP="00933789">
      <w:pPr>
        <w:rPr>
          <w:rFonts w:ascii="Times New Roman" w:hAnsi="Times New Roman"/>
          <w:i/>
          <w:iCs/>
          <w:color w:val="000000" w:themeColor="text1"/>
          <w:sz w:val="24"/>
          <w:szCs w:val="24"/>
        </w:rPr>
      </w:pPr>
      <w:r>
        <w:rPr>
          <w:rFonts w:ascii="Times New Roman" w:hAnsi="Times New Roman"/>
          <w:b/>
          <w:bCs/>
          <w:i/>
          <w:iCs/>
          <w:color w:val="000000" w:themeColor="text1"/>
          <w:sz w:val="24"/>
          <w:szCs w:val="24"/>
          <w:u w:val="single"/>
        </w:rPr>
        <w:t>Proposal</w:t>
      </w:r>
      <w:r w:rsidRPr="00AF0295">
        <w:rPr>
          <w:rFonts w:ascii="Times New Roman" w:hAnsi="Times New Roman"/>
          <w:b/>
          <w:bCs/>
          <w:i/>
          <w:iCs/>
          <w:color w:val="000000" w:themeColor="text1"/>
          <w:sz w:val="24"/>
          <w:szCs w:val="24"/>
          <w:u w:val="single"/>
        </w:rPr>
        <w:t xml:space="preserve"> 1:</w:t>
      </w:r>
      <w:r w:rsidRPr="00AF0295">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RAN2 to discuss L2 buffer re-ordering issues in relation to IAB network induced multi-hop latency</w:t>
      </w:r>
      <w:r w:rsidRPr="00AF0295">
        <w:rPr>
          <w:rFonts w:ascii="Times New Roman" w:hAnsi="Times New Roman"/>
          <w:i/>
          <w:iCs/>
          <w:color w:val="000000" w:themeColor="text1"/>
          <w:sz w:val="24"/>
          <w:szCs w:val="24"/>
        </w:rPr>
        <w:t>.</w:t>
      </w:r>
      <w:r w:rsidR="001656D5">
        <w:rPr>
          <w:rFonts w:ascii="Times New Roman" w:hAnsi="Times New Roman"/>
          <w:i/>
          <w:iCs/>
          <w:color w:val="000000" w:themeColor="text1"/>
          <w:sz w:val="24"/>
          <w:szCs w:val="24"/>
        </w:rPr>
        <w:t xml:space="preserve"> </w:t>
      </w:r>
    </w:p>
    <w:p w14:paraId="5D63F3B2" w14:textId="77FE6BAA" w:rsidR="008B0834" w:rsidRDefault="00FF6AD0" w:rsidP="00FF6AD0">
      <w:pPr>
        <w:pStyle w:val="Heading2"/>
      </w:pPr>
      <w:r>
        <w:t xml:space="preserve">L2 buffer size issue mitigation </w:t>
      </w:r>
    </w:p>
    <w:p w14:paraId="4D5CB0FB" w14:textId="27AF4470" w:rsidR="00FF6AD0" w:rsidRDefault="00FF6AD0" w:rsidP="001656D5">
      <w:pPr>
        <w:ind w:firstLine="425"/>
        <w:rPr>
          <w:rFonts w:ascii="Times New Roman" w:hAnsi="Times New Roman"/>
          <w:color w:val="000000" w:themeColor="text1"/>
          <w:sz w:val="24"/>
          <w:szCs w:val="24"/>
        </w:rPr>
      </w:pPr>
      <w:r>
        <w:rPr>
          <w:rFonts w:ascii="Times New Roman" w:hAnsi="Times New Roman"/>
          <w:color w:val="000000" w:themeColor="text1"/>
          <w:sz w:val="24"/>
          <w:szCs w:val="24"/>
        </w:rPr>
        <w:t xml:space="preserve">In this subsection, we present some </w:t>
      </w:r>
      <w:r w:rsidR="001656D5">
        <w:rPr>
          <w:rFonts w:ascii="Times New Roman" w:hAnsi="Times New Roman"/>
          <w:color w:val="000000" w:themeColor="text1"/>
          <w:sz w:val="24"/>
          <w:szCs w:val="24"/>
        </w:rPr>
        <w:t xml:space="preserve">initial </w:t>
      </w:r>
      <w:r>
        <w:rPr>
          <w:rFonts w:ascii="Times New Roman" w:hAnsi="Times New Roman"/>
          <w:color w:val="000000" w:themeColor="text1"/>
          <w:sz w:val="24"/>
          <w:szCs w:val="24"/>
        </w:rPr>
        <w:t xml:space="preserve">solutions that </w:t>
      </w:r>
      <w:r w:rsidR="001656D5">
        <w:rPr>
          <w:rFonts w:ascii="Times New Roman" w:hAnsi="Times New Roman"/>
          <w:color w:val="000000" w:themeColor="text1"/>
          <w:sz w:val="24"/>
          <w:szCs w:val="24"/>
        </w:rPr>
        <w:t xml:space="preserve">can help mitigate the L2 buffer overload problems mentioned in section 2.1. </w:t>
      </w:r>
    </w:p>
    <w:p w14:paraId="70735BDC" w14:textId="71BEC5D8" w:rsidR="001656D5" w:rsidRPr="00501511" w:rsidRDefault="001656D5" w:rsidP="001656D5">
      <w:pPr>
        <w:pStyle w:val="Heading3"/>
        <w:rPr>
          <w:sz w:val="24"/>
          <w:szCs w:val="24"/>
        </w:rPr>
      </w:pPr>
      <w:r w:rsidRPr="00501511">
        <w:rPr>
          <w:sz w:val="24"/>
          <w:szCs w:val="24"/>
        </w:rPr>
        <w:lastRenderedPageBreak/>
        <w:t>UE Capability indication</w:t>
      </w:r>
    </w:p>
    <w:p w14:paraId="0CBAB502" w14:textId="5B61892B" w:rsidR="001656D5" w:rsidRDefault="001656D5" w:rsidP="001656D5">
      <w:pPr>
        <w:ind w:firstLine="720"/>
        <w:rPr>
          <w:rFonts w:ascii="Times New Roman" w:hAnsi="Times New Roman"/>
          <w:color w:val="000000" w:themeColor="text1"/>
          <w:sz w:val="24"/>
          <w:szCs w:val="24"/>
        </w:rPr>
      </w:pPr>
      <w:r>
        <w:rPr>
          <w:rFonts w:ascii="Times New Roman" w:hAnsi="Times New Roman"/>
          <w:color w:val="000000" w:themeColor="text1"/>
          <w:sz w:val="24"/>
          <w:szCs w:val="24"/>
        </w:rPr>
        <w:t xml:space="preserve">Given that the UE already indicates the supported bands and carrier combinations to the network using UE capability indications, the network could simply calculate the max data rate that is possible on the UE given the end to end delay (including the number of hops to the UE etc.) in these situations is only known to the network.  </w:t>
      </w:r>
    </w:p>
    <w:p w14:paraId="15D916D4" w14:textId="77777777" w:rsidR="00501511" w:rsidRDefault="001656D5" w:rsidP="001656D5">
      <w:pPr>
        <w:ind w:firstLine="720"/>
        <w:rPr>
          <w:rFonts w:ascii="Times New Roman" w:hAnsi="Times New Roman"/>
          <w:color w:val="000000" w:themeColor="text1"/>
          <w:sz w:val="24"/>
          <w:szCs w:val="24"/>
        </w:rPr>
      </w:pPr>
      <w:r>
        <w:rPr>
          <w:rFonts w:ascii="Times New Roman" w:hAnsi="Times New Roman"/>
          <w:color w:val="000000" w:themeColor="text1"/>
          <w:sz w:val="24"/>
          <w:szCs w:val="24"/>
        </w:rPr>
        <w:t xml:space="preserve">A simple modification is for the UE to inform the network </w:t>
      </w:r>
      <w:r w:rsidR="00422E89">
        <w:rPr>
          <w:rFonts w:ascii="Times New Roman" w:hAnsi="Times New Roman"/>
          <w:color w:val="000000" w:themeColor="text1"/>
          <w:sz w:val="24"/>
          <w:szCs w:val="24"/>
        </w:rPr>
        <w:t>(using UE capability</w:t>
      </w:r>
      <w:r w:rsidR="00501511">
        <w:rPr>
          <w:rFonts w:ascii="Times New Roman" w:hAnsi="Times New Roman"/>
          <w:color w:val="000000" w:themeColor="text1"/>
          <w:sz w:val="24"/>
          <w:szCs w:val="24"/>
        </w:rPr>
        <w:t xml:space="preserve"> Indication,</w:t>
      </w:r>
      <w:r w:rsidR="00422E89">
        <w:rPr>
          <w:rFonts w:ascii="Times New Roman" w:hAnsi="Times New Roman"/>
          <w:color w:val="000000" w:themeColor="text1"/>
          <w:sz w:val="24"/>
          <w:szCs w:val="24"/>
        </w:rPr>
        <w:t xml:space="preserve"> </w:t>
      </w:r>
      <w:r w:rsidR="00501511">
        <w:rPr>
          <w:rFonts w:ascii="Times New Roman" w:hAnsi="Times New Roman"/>
          <w:color w:val="000000" w:themeColor="text1"/>
          <w:sz w:val="24"/>
          <w:szCs w:val="24"/>
        </w:rPr>
        <w:t xml:space="preserve">UE assistance information or </w:t>
      </w:r>
      <w:r w:rsidR="00422E89">
        <w:rPr>
          <w:rFonts w:ascii="Times New Roman" w:hAnsi="Times New Roman"/>
          <w:color w:val="000000" w:themeColor="text1"/>
          <w:sz w:val="24"/>
          <w:szCs w:val="24"/>
        </w:rPr>
        <w:t xml:space="preserve">some other means) </w:t>
      </w:r>
      <w:r>
        <w:rPr>
          <w:rFonts w:ascii="Times New Roman" w:hAnsi="Times New Roman"/>
          <w:color w:val="000000" w:themeColor="text1"/>
          <w:sz w:val="24"/>
          <w:szCs w:val="24"/>
        </w:rPr>
        <w:t xml:space="preserve">of a maximum data </w:t>
      </w:r>
      <w:r w:rsidR="00501511">
        <w:rPr>
          <w:rFonts w:ascii="Times New Roman" w:hAnsi="Times New Roman"/>
          <w:color w:val="000000" w:themeColor="text1"/>
          <w:sz w:val="24"/>
          <w:szCs w:val="24"/>
        </w:rPr>
        <w:t xml:space="preserve">rate </w:t>
      </w:r>
      <w:r>
        <w:rPr>
          <w:rFonts w:ascii="Times New Roman" w:hAnsi="Times New Roman"/>
          <w:color w:val="000000" w:themeColor="text1"/>
          <w:sz w:val="24"/>
          <w:szCs w:val="24"/>
        </w:rPr>
        <w:t xml:space="preserve">reduction in order to </w:t>
      </w:r>
      <w:r w:rsidR="00422E89">
        <w:rPr>
          <w:rFonts w:ascii="Times New Roman" w:hAnsi="Times New Roman"/>
          <w:color w:val="000000" w:themeColor="text1"/>
          <w:sz w:val="24"/>
          <w:szCs w:val="24"/>
        </w:rPr>
        <w:t>ensure that the L2 buffers do not get overwhelmed. This would also allow for the UE to</w:t>
      </w:r>
      <w:r w:rsidR="00501511">
        <w:rPr>
          <w:rFonts w:ascii="Times New Roman" w:hAnsi="Times New Roman"/>
          <w:color w:val="000000" w:themeColor="text1"/>
          <w:sz w:val="24"/>
          <w:szCs w:val="24"/>
        </w:rPr>
        <w:t xml:space="preserve"> not have to reveal its implementation details of the L2 buffer and the UE can provide its own requests based on the band and frequency combination it currently is in. </w:t>
      </w:r>
    </w:p>
    <w:p w14:paraId="47D820F2" w14:textId="26216959" w:rsidR="001656D5" w:rsidRDefault="00501511" w:rsidP="001656D5">
      <w:pPr>
        <w:ind w:firstLine="720"/>
        <w:rPr>
          <w:rFonts w:ascii="Times New Roman" w:hAnsi="Times New Roman"/>
          <w:color w:val="000000" w:themeColor="text1"/>
          <w:sz w:val="24"/>
          <w:szCs w:val="24"/>
        </w:rPr>
      </w:pPr>
      <w:r>
        <w:rPr>
          <w:rFonts w:ascii="Times New Roman" w:hAnsi="Times New Roman"/>
          <w:color w:val="000000" w:themeColor="text1"/>
          <w:sz w:val="24"/>
          <w:szCs w:val="24"/>
        </w:rPr>
        <w:t xml:space="preserve">Another alternative is for the network to ensure in-order delivery at RLC layer at each hop. This can be achieved in various ways – either using timestamping or sequence numbering at each intermediate hop. </w:t>
      </w:r>
      <w:r w:rsidR="00422E89">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Current Rel-16 implementations of RLC do not have these restrictions and thus adding such a simple restriction for IAB nodes in terms of RRC reconfigurations or in other form would help relieve the stress on the UE buffer implementations. </w:t>
      </w:r>
    </w:p>
    <w:p w14:paraId="565CC573" w14:textId="4DA69A1B" w:rsidR="00501511" w:rsidRPr="00AF0295" w:rsidRDefault="00501511" w:rsidP="00501511">
      <w:pPr>
        <w:ind w:firstLine="720"/>
        <w:rPr>
          <w:rFonts w:ascii="Times New Roman" w:hAnsi="Times New Roman"/>
          <w:color w:val="000000" w:themeColor="text1"/>
          <w:sz w:val="24"/>
          <w:szCs w:val="24"/>
        </w:rPr>
      </w:pPr>
      <w:r>
        <w:rPr>
          <w:rFonts w:ascii="Times New Roman" w:hAnsi="Times New Roman"/>
          <w:color w:val="000000" w:themeColor="text1"/>
          <w:sz w:val="24"/>
          <w:szCs w:val="24"/>
        </w:rPr>
        <w:t>Given these solution options, we have the following proposal</w:t>
      </w:r>
    </w:p>
    <w:p w14:paraId="0F9089AD" w14:textId="02B86BAF" w:rsidR="00BA23D4" w:rsidRPr="00AF0295" w:rsidRDefault="008B0834" w:rsidP="0092484D">
      <w:pPr>
        <w:rPr>
          <w:rFonts w:ascii="Times New Roman" w:hAnsi="Times New Roman"/>
          <w:i/>
          <w:iCs/>
          <w:color w:val="000000" w:themeColor="text1"/>
          <w:sz w:val="24"/>
          <w:szCs w:val="24"/>
        </w:rPr>
      </w:pPr>
      <w:r w:rsidRPr="00AF0295">
        <w:rPr>
          <w:rFonts w:ascii="Times New Roman" w:hAnsi="Times New Roman"/>
          <w:b/>
          <w:bCs/>
          <w:i/>
          <w:iCs/>
          <w:color w:val="000000" w:themeColor="text1"/>
          <w:sz w:val="24"/>
          <w:szCs w:val="24"/>
          <w:u w:val="single"/>
        </w:rPr>
        <w:t xml:space="preserve">Proposal </w:t>
      </w:r>
      <w:r w:rsidR="00501511">
        <w:rPr>
          <w:rFonts w:ascii="Times New Roman" w:hAnsi="Times New Roman"/>
          <w:b/>
          <w:bCs/>
          <w:i/>
          <w:iCs/>
          <w:color w:val="000000" w:themeColor="text1"/>
          <w:sz w:val="24"/>
          <w:szCs w:val="24"/>
          <w:u w:val="single"/>
        </w:rPr>
        <w:t>2</w:t>
      </w:r>
      <w:r w:rsidRPr="00AF0295">
        <w:rPr>
          <w:rFonts w:ascii="Times New Roman" w:hAnsi="Times New Roman"/>
          <w:b/>
          <w:bCs/>
          <w:i/>
          <w:iCs/>
          <w:color w:val="000000" w:themeColor="text1"/>
          <w:sz w:val="24"/>
          <w:szCs w:val="24"/>
          <w:u w:val="single"/>
        </w:rPr>
        <w:t>:</w:t>
      </w:r>
      <w:r w:rsidRPr="00AF0295">
        <w:rPr>
          <w:rFonts w:ascii="Times New Roman" w:hAnsi="Times New Roman"/>
          <w:i/>
          <w:iCs/>
          <w:color w:val="000000" w:themeColor="text1"/>
          <w:sz w:val="24"/>
          <w:szCs w:val="24"/>
        </w:rPr>
        <w:t xml:space="preserve"> </w:t>
      </w:r>
      <w:r w:rsidR="00501511">
        <w:rPr>
          <w:rFonts w:ascii="Times New Roman" w:hAnsi="Times New Roman"/>
          <w:i/>
          <w:iCs/>
          <w:color w:val="000000" w:themeColor="text1"/>
          <w:sz w:val="24"/>
          <w:szCs w:val="24"/>
        </w:rPr>
        <w:t>RAN2 to discuss rate reduction or in-order delivery restrictions for IAB deployments in order to address the issues of L2 buffer overflows on UE brought in by multi-hopping delays</w:t>
      </w:r>
      <w:r w:rsidR="00BA23D4" w:rsidRPr="00AF0295">
        <w:rPr>
          <w:rFonts w:ascii="Times New Roman" w:hAnsi="Times New Roman"/>
          <w:i/>
          <w:iCs/>
          <w:color w:val="000000" w:themeColor="text1"/>
          <w:sz w:val="24"/>
          <w:szCs w:val="24"/>
        </w:rPr>
        <w:t>.</w:t>
      </w:r>
    </w:p>
    <w:p w14:paraId="5E650D32" w14:textId="6D196DB3" w:rsidR="009D725A" w:rsidRPr="00AF0295" w:rsidRDefault="009D725A" w:rsidP="009D725A">
      <w:pPr>
        <w:pStyle w:val="Heading1"/>
        <w:jc w:val="both"/>
        <w:rPr>
          <w:rFonts w:ascii="Times New Roman" w:hAnsi="Times New Roman" w:cs="Times New Roman"/>
          <w:color w:val="000000" w:themeColor="text1"/>
          <w:sz w:val="36"/>
        </w:rPr>
      </w:pPr>
      <w:bookmarkStart w:id="1" w:name="_Toc242573360"/>
      <w:r w:rsidRPr="00AF0295">
        <w:rPr>
          <w:rFonts w:ascii="Times New Roman" w:hAnsi="Times New Roman" w:cs="Times New Roman"/>
          <w:color w:val="000000" w:themeColor="text1"/>
          <w:sz w:val="36"/>
        </w:rPr>
        <w:t>Summary</w:t>
      </w:r>
      <w:bookmarkEnd w:id="1"/>
    </w:p>
    <w:p w14:paraId="68EFDB54" w14:textId="77777777" w:rsidR="00346576" w:rsidRPr="00AF0295" w:rsidRDefault="00FF68E9" w:rsidP="00BA23D4">
      <w:pPr>
        <w:rPr>
          <w:rFonts w:ascii="Times New Roman" w:hAnsi="Times New Roman"/>
          <w:color w:val="000000" w:themeColor="text1"/>
          <w:sz w:val="24"/>
          <w:szCs w:val="24"/>
          <w:lang w:val="en-GB" w:eastAsia="zh-CN"/>
        </w:rPr>
      </w:pPr>
      <w:r w:rsidRPr="00AF0295">
        <w:rPr>
          <w:rFonts w:ascii="Times New Roman" w:hAnsi="Times New Roman"/>
          <w:color w:val="000000" w:themeColor="text1"/>
          <w:sz w:val="24"/>
          <w:szCs w:val="24"/>
          <w:lang w:val="en-GB" w:eastAsia="zh-CN"/>
        </w:rPr>
        <w:t>Due to the important nature of the problem and the technical difficulties associated in achieving a solution, we identify the following observations and proposals and request RAN2 to consider them</w:t>
      </w:r>
      <w:r w:rsidR="002C776D" w:rsidRPr="00AF0295">
        <w:rPr>
          <w:rFonts w:ascii="Times New Roman" w:hAnsi="Times New Roman"/>
          <w:color w:val="000000" w:themeColor="text1"/>
          <w:sz w:val="24"/>
          <w:szCs w:val="24"/>
          <w:lang w:val="en-GB" w:eastAsia="zh-CN"/>
        </w:rPr>
        <w:t>.</w:t>
      </w:r>
      <w:bookmarkStart w:id="2" w:name="_Toc242573361"/>
    </w:p>
    <w:p w14:paraId="6B788624" w14:textId="77777777" w:rsidR="00501511" w:rsidRDefault="00501511" w:rsidP="00501511">
      <w:pPr>
        <w:rPr>
          <w:rFonts w:ascii="Times New Roman" w:hAnsi="Times New Roman"/>
          <w:i/>
          <w:iCs/>
          <w:color w:val="000000" w:themeColor="text1"/>
          <w:sz w:val="24"/>
          <w:szCs w:val="24"/>
        </w:rPr>
      </w:pPr>
      <w:r w:rsidRPr="00AF0295">
        <w:rPr>
          <w:rFonts w:ascii="Times New Roman" w:hAnsi="Times New Roman"/>
          <w:b/>
          <w:bCs/>
          <w:i/>
          <w:iCs/>
          <w:color w:val="000000" w:themeColor="text1"/>
          <w:sz w:val="24"/>
          <w:szCs w:val="24"/>
          <w:u w:val="single"/>
        </w:rPr>
        <w:t>Observation 1:</w:t>
      </w:r>
      <w:r w:rsidRPr="00AF0295">
        <w:rPr>
          <w:rFonts w:ascii="Times New Roman" w:hAnsi="Times New Roman"/>
          <w:i/>
          <w:iCs/>
          <w:color w:val="000000" w:themeColor="text1"/>
          <w:sz w:val="24"/>
          <w:szCs w:val="24"/>
        </w:rPr>
        <w:t xml:space="preserve"> In their current state </w:t>
      </w:r>
      <w:r>
        <w:rPr>
          <w:rFonts w:ascii="Times New Roman" w:hAnsi="Times New Roman"/>
          <w:i/>
          <w:iCs/>
          <w:color w:val="000000" w:themeColor="text1"/>
          <w:sz w:val="24"/>
          <w:szCs w:val="24"/>
        </w:rPr>
        <w:t>based on 38.306, the L2 buffer sizes on the UE are insufficient to handle the multi-hop delay associated with IAB Networks</w:t>
      </w:r>
      <w:r w:rsidRPr="00AF0295">
        <w:rPr>
          <w:rFonts w:ascii="Times New Roman" w:hAnsi="Times New Roman"/>
          <w:i/>
          <w:iCs/>
          <w:color w:val="000000" w:themeColor="text1"/>
          <w:sz w:val="24"/>
          <w:szCs w:val="24"/>
        </w:rPr>
        <w:t>.</w:t>
      </w:r>
    </w:p>
    <w:p w14:paraId="09BEF95C" w14:textId="77777777" w:rsidR="00501511" w:rsidRDefault="00501511" w:rsidP="00501511">
      <w:pPr>
        <w:rPr>
          <w:rFonts w:ascii="Times New Roman" w:hAnsi="Times New Roman"/>
          <w:color w:val="000000" w:themeColor="text1"/>
          <w:sz w:val="24"/>
          <w:szCs w:val="24"/>
        </w:rPr>
      </w:pPr>
      <w:r>
        <w:rPr>
          <w:rFonts w:ascii="Times New Roman" w:hAnsi="Times New Roman"/>
          <w:color w:val="000000" w:themeColor="text1"/>
          <w:sz w:val="24"/>
          <w:szCs w:val="24"/>
        </w:rPr>
        <w:t xml:space="preserve">Given the serious constraints this latency has on the L2 buffer re-ordering, we have the following initial proposal for RAN2’s consideration. </w:t>
      </w:r>
    </w:p>
    <w:p w14:paraId="7E70EFA5" w14:textId="77777777" w:rsidR="00501511" w:rsidRPr="00FF6AD0" w:rsidRDefault="00501511" w:rsidP="00501511">
      <w:pPr>
        <w:rPr>
          <w:rFonts w:ascii="Times New Roman" w:hAnsi="Times New Roman"/>
          <w:i/>
          <w:iCs/>
          <w:color w:val="000000" w:themeColor="text1"/>
          <w:sz w:val="24"/>
          <w:szCs w:val="24"/>
        </w:rPr>
      </w:pPr>
      <w:r>
        <w:rPr>
          <w:rFonts w:ascii="Times New Roman" w:hAnsi="Times New Roman"/>
          <w:b/>
          <w:bCs/>
          <w:i/>
          <w:iCs/>
          <w:color w:val="000000" w:themeColor="text1"/>
          <w:sz w:val="24"/>
          <w:szCs w:val="24"/>
          <w:u w:val="single"/>
        </w:rPr>
        <w:t>Proposal</w:t>
      </w:r>
      <w:r w:rsidRPr="00AF0295">
        <w:rPr>
          <w:rFonts w:ascii="Times New Roman" w:hAnsi="Times New Roman"/>
          <w:b/>
          <w:bCs/>
          <w:i/>
          <w:iCs/>
          <w:color w:val="000000" w:themeColor="text1"/>
          <w:sz w:val="24"/>
          <w:szCs w:val="24"/>
          <w:u w:val="single"/>
        </w:rPr>
        <w:t xml:space="preserve"> 1:</w:t>
      </w:r>
      <w:r w:rsidRPr="00AF0295">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RAN2 to discuss L2 buffer re-ordering issues in relation to IAB network induced multi-hop latency</w:t>
      </w:r>
      <w:r w:rsidRPr="00AF0295">
        <w:rPr>
          <w:rFonts w:ascii="Times New Roman" w:hAnsi="Times New Roman"/>
          <w:i/>
          <w:iCs/>
          <w:color w:val="000000" w:themeColor="text1"/>
          <w:sz w:val="24"/>
          <w:szCs w:val="24"/>
        </w:rPr>
        <w:t>.</w:t>
      </w:r>
      <w:r>
        <w:rPr>
          <w:rFonts w:ascii="Times New Roman" w:hAnsi="Times New Roman"/>
          <w:i/>
          <w:iCs/>
          <w:color w:val="000000" w:themeColor="text1"/>
          <w:sz w:val="24"/>
          <w:szCs w:val="24"/>
        </w:rPr>
        <w:t xml:space="preserve"> </w:t>
      </w:r>
    </w:p>
    <w:p w14:paraId="2B11B3F6" w14:textId="51750312" w:rsidR="00C253A5" w:rsidRPr="00AF0295" w:rsidRDefault="00501511" w:rsidP="00C253A5">
      <w:pPr>
        <w:rPr>
          <w:rFonts w:ascii="Times New Roman" w:hAnsi="Times New Roman"/>
          <w:i/>
          <w:iCs/>
          <w:color w:val="000000" w:themeColor="text1"/>
          <w:sz w:val="24"/>
          <w:szCs w:val="24"/>
        </w:rPr>
      </w:pPr>
      <w:r w:rsidRPr="00AF0295">
        <w:rPr>
          <w:rFonts w:ascii="Times New Roman" w:hAnsi="Times New Roman"/>
          <w:b/>
          <w:bCs/>
          <w:i/>
          <w:iCs/>
          <w:color w:val="000000" w:themeColor="text1"/>
          <w:sz w:val="24"/>
          <w:szCs w:val="24"/>
          <w:u w:val="single"/>
        </w:rPr>
        <w:t xml:space="preserve">Proposal </w:t>
      </w:r>
      <w:r>
        <w:rPr>
          <w:rFonts w:ascii="Times New Roman" w:hAnsi="Times New Roman"/>
          <w:b/>
          <w:bCs/>
          <w:i/>
          <w:iCs/>
          <w:color w:val="000000" w:themeColor="text1"/>
          <w:sz w:val="24"/>
          <w:szCs w:val="24"/>
          <w:u w:val="single"/>
        </w:rPr>
        <w:t>2</w:t>
      </w:r>
      <w:r w:rsidRPr="00AF0295">
        <w:rPr>
          <w:rFonts w:ascii="Times New Roman" w:hAnsi="Times New Roman"/>
          <w:b/>
          <w:bCs/>
          <w:i/>
          <w:iCs/>
          <w:color w:val="000000" w:themeColor="text1"/>
          <w:sz w:val="24"/>
          <w:szCs w:val="24"/>
          <w:u w:val="single"/>
        </w:rPr>
        <w:t>:</w:t>
      </w:r>
      <w:r w:rsidRPr="00AF0295">
        <w:rPr>
          <w:rFonts w:ascii="Times New Roman" w:hAnsi="Times New Roman"/>
          <w:i/>
          <w:iCs/>
          <w:color w:val="000000" w:themeColor="text1"/>
          <w:sz w:val="24"/>
          <w:szCs w:val="24"/>
        </w:rPr>
        <w:t xml:space="preserve"> </w:t>
      </w:r>
      <w:r>
        <w:rPr>
          <w:rFonts w:ascii="Times New Roman" w:hAnsi="Times New Roman"/>
          <w:i/>
          <w:iCs/>
          <w:color w:val="000000" w:themeColor="text1"/>
          <w:sz w:val="24"/>
          <w:szCs w:val="24"/>
        </w:rPr>
        <w:t>RAN2 to discuss rate reduction or in-order delivery restrictions for IAB deployments in order to address the issues of L2 buffer overflows on UE brought in by multi-hopping delays</w:t>
      </w:r>
      <w:r w:rsidRPr="00AF0295">
        <w:rPr>
          <w:rFonts w:ascii="Times New Roman" w:hAnsi="Times New Roman"/>
          <w:i/>
          <w:iCs/>
          <w:color w:val="000000" w:themeColor="text1"/>
          <w:sz w:val="24"/>
          <w:szCs w:val="24"/>
        </w:rPr>
        <w:t>.</w:t>
      </w:r>
      <w:r w:rsidR="00BA23D4" w:rsidRPr="00AF0295">
        <w:rPr>
          <w:rFonts w:ascii="Times New Roman" w:hAnsi="Times New Roman"/>
          <w:i/>
          <w:iCs/>
          <w:color w:val="000000" w:themeColor="text1"/>
          <w:sz w:val="24"/>
          <w:szCs w:val="24"/>
        </w:rPr>
        <w:t xml:space="preserve"> </w:t>
      </w:r>
    </w:p>
    <w:p w14:paraId="5A15FD36" w14:textId="1CA2158F" w:rsidR="009D725A" w:rsidRPr="00AF0295" w:rsidRDefault="009D725A" w:rsidP="009D725A">
      <w:pPr>
        <w:pStyle w:val="Heading1"/>
        <w:rPr>
          <w:rFonts w:ascii="Times New Roman" w:hAnsi="Times New Roman" w:cs="Times New Roman"/>
          <w:noProof/>
          <w:color w:val="000000" w:themeColor="text1"/>
          <w:sz w:val="36"/>
        </w:rPr>
      </w:pPr>
      <w:r w:rsidRPr="00AF0295">
        <w:rPr>
          <w:rFonts w:ascii="Times New Roman" w:hAnsi="Times New Roman" w:cs="Times New Roman"/>
          <w:noProof/>
          <w:color w:val="000000" w:themeColor="text1"/>
          <w:sz w:val="36"/>
        </w:rPr>
        <w:t>References</w:t>
      </w:r>
      <w:bookmarkEnd w:id="2"/>
    </w:p>
    <w:p w14:paraId="30C0CCB2" w14:textId="0B6D3464" w:rsidR="003C05AE" w:rsidRPr="00AF0295" w:rsidRDefault="006C53F6" w:rsidP="00A17E18">
      <w:pPr>
        <w:numPr>
          <w:ilvl w:val="0"/>
          <w:numId w:val="3"/>
        </w:numPr>
        <w:overflowPunct w:val="0"/>
        <w:autoSpaceDE w:val="0"/>
        <w:autoSpaceDN w:val="0"/>
        <w:adjustRightInd w:val="0"/>
        <w:spacing w:after="120"/>
        <w:jc w:val="both"/>
        <w:textAlignment w:val="baseline"/>
        <w:rPr>
          <w:rFonts w:ascii="Times New Roman" w:hAnsi="Times New Roman"/>
          <w:color w:val="000000" w:themeColor="text1"/>
          <w:sz w:val="24"/>
          <w:szCs w:val="24"/>
          <w:lang w:val="en-GB"/>
        </w:rPr>
      </w:pPr>
      <w:r w:rsidRPr="00AF0295">
        <w:rPr>
          <w:rFonts w:ascii="Times New Roman" w:hAnsi="Times New Roman"/>
          <w:color w:val="000000" w:themeColor="text1"/>
          <w:sz w:val="24"/>
          <w:szCs w:val="24"/>
          <w:lang w:eastAsia="en-GB" w:bidi="te-IN"/>
        </w:rPr>
        <w:t xml:space="preserve">RAN2 Email discussions, </w:t>
      </w:r>
      <w:r w:rsidR="003C05AE" w:rsidRPr="00AF0295">
        <w:rPr>
          <w:rFonts w:ascii="Times New Roman" w:hAnsi="Times New Roman"/>
          <w:color w:val="000000" w:themeColor="text1"/>
          <w:sz w:val="24"/>
          <w:szCs w:val="24"/>
          <w:lang w:eastAsia="en-GB" w:bidi="te-IN"/>
        </w:rPr>
        <w:t>[Post1</w:t>
      </w:r>
      <w:r w:rsidR="00E30676" w:rsidRPr="00AF0295">
        <w:rPr>
          <w:rFonts w:ascii="Times New Roman" w:hAnsi="Times New Roman"/>
          <w:color w:val="000000" w:themeColor="text1"/>
          <w:sz w:val="24"/>
          <w:szCs w:val="24"/>
          <w:lang w:eastAsia="en-GB" w:bidi="te-IN"/>
        </w:rPr>
        <w:t>1</w:t>
      </w:r>
      <w:r w:rsidR="00626A89" w:rsidRPr="00AF0295">
        <w:rPr>
          <w:rFonts w:ascii="Times New Roman" w:hAnsi="Times New Roman"/>
          <w:color w:val="000000" w:themeColor="text1"/>
          <w:sz w:val="24"/>
          <w:szCs w:val="24"/>
          <w:lang w:eastAsia="en-GB" w:bidi="te-IN"/>
        </w:rPr>
        <w:t>2</w:t>
      </w:r>
      <w:r w:rsidR="00E30676" w:rsidRPr="00AF0295">
        <w:rPr>
          <w:rFonts w:ascii="Times New Roman" w:hAnsi="Times New Roman"/>
          <w:color w:val="000000" w:themeColor="text1"/>
          <w:sz w:val="24"/>
          <w:szCs w:val="24"/>
          <w:lang w:eastAsia="en-GB" w:bidi="te-IN"/>
        </w:rPr>
        <w:t>-</w:t>
      </w:r>
      <w:r w:rsidR="003C05AE" w:rsidRPr="00AF0295">
        <w:rPr>
          <w:rFonts w:ascii="Times New Roman" w:hAnsi="Times New Roman"/>
          <w:color w:val="000000" w:themeColor="text1"/>
          <w:sz w:val="24"/>
          <w:szCs w:val="24"/>
          <w:lang w:eastAsia="en-GB" w:bidi="te-IN"/>
        </w:rPr>
        <w:t>e</w:t>
      </w:r>
      <w:r w:rsidR="00626A89" w:rsidRPr="00AF0295">
        <w:rPr>
          <w:rFonts w:ascii="Times New Roman" w:hAnsi="Times New Roman"/>
          <w:color w:val="000000" w:themeColor="text1"/>
          <w:sz w:val="24"/>
          <w:szCs w:val="24"/>
          <w:lang w:eastAsia="en-GB" w:bidi="te-IN"/>
        </w:rPr>
        <w:t>][</w:t>
      </w:r>
      <w:r w:rsidR="00CA47C4" w:rsidRPr="00AF0295">
        <w:rPr>
          <w:rFonts w:ascii="Times New Roman" w:hAnsi="Times New Roman"/>
          <w:color w:val="000000" w:themeColor="text1"/>
          <w:sz w:val="24"/>
          <w:szCs w:val="24"/>
          <w:lang w:eastAsia="en-GB" w:bidi="te-IN"/>
        </w:rPr>
        <w:t>065] [</w:t>
      </w:r>
      <w:r w:rsidR="00E30676" w:rsidRPr="00AF0295">
        <w:rPr>
          <w:rFonts w:ascii="Times New Roman" w:hAnsi="Times New Roman"/>
          <w:color w:val="000000" w:themeColor="text1"/>
          <w:sz w:val="24"/>
          <w:szCs w:val="24"/>
          <w:lang w:eastAsia="en-GB" w:bidi="te-IN"/>
        </w:rPr>
        <w:t>e</w:t>
      </w:r>
      <w:r w:rsidR="003C05AE" w:rsidRPr="00AF0295">
        <w:rPr>
          <w:rFonts w:ascii="Times New Roman" w:hAnsi="Times New Roman"/>
          <w:color w:val="000000" w:themeColor="text1"/>
          <w:sz w:val="24"/>
          <w:szCs w:val="24"/>
          <w:lang w:eastAsia="en-GB" w:bidi="te-IN"/>
        </w:rPr>
        <w:t xml:space="preserve">IAB] </w:t>
      </w:r>
      <w:r w:rsidR="00E30676" w:rsidRPr="00AF0295">
        <w:rPr>
          <w:rFonts w:ascii="Times New Roman" w:hAnsi="Times New Roman"/>
          <w:color w:val="000000" w:themeColor="text1"/>
          <w:sz w:val="24"/>
          <w:szCs w:val="24"/>
          <w:lang w:eastAsia="en-GB" w:bidi="te-IN"/>
        </w:rPr>
        <w:t>Fairness</w:t>
      </w:r>
      <w:r w:rsidR="00626A89" w:rsidRPr="00AF0295">
        <w:rPr>
          <w:rFonts w:ascii="Times New Roman" w:hAnsi="Times New Roman"/>
          <w:color w:val="000000" w:themeColor="text1"/>
          <w:sz w:val="24"/>
          <w:szCs w:val="24"/>
          <w:lang w:eastAsia="en-GB" w:bidi="te-IN"/>
        </w:rPr>
        <w:t xml:space="preserve"> Latency, Co</w:t>
      </w:r>
      <w:r w:rsidR="00E30676" w:rsidRPr="00AF0295">
        <w:rPr>
          <w:rFonts w:ascii="Times New Roman" w:hAnsi="Times New Roman"/>
          <w:color w:val="000000" w:themeColor="text1"/>
          <w:sz w:val="24"/>
          <w:szCs w:val="24"/>
          <w:lang w:eastAsia="en-GB" w:bidi="te-IN"/>
        </w:rPr>
        <w:t>ngestion (Samsung)</w:t>
      </w:r>
    </w:p>
    <w:p w14:paraId="1825C55C" w14:textId="72C3B7CD" w:rsidR="00E30676" w:rsidRPr="00AF0295" w:rsidRDefault="00E30676" w:rsidP="00A17E18">
      <w:pPr>
        <w:numPr>
          <w:ilvl w:val="0"/>
          <w:numId w:val="3"/>
        </w:numPr>
        <w:overflowPunct w:val="0"/>
        <w:autoSpaceDE w:val="0"/>
        <w:autoSpaceDN w:val="0"/>
        <w:adjustRightInd w:val="0"/>
        <w:spacing w:after="120"/>
        <w:jc w:val="both"/>
        <w:textAlignment w:val="baseline"/>
        <w:rPr>
          <w:rFonts w:ascii="Times New Roman" w:hAnsi="Times New Roman"/>
          <w:color w:val="000000" w:themeColor="text1"/>
          <w:sz w:val="24"/>
          <w:szCs w:val="24"/>
          <w:lang w:val="en-GB"/>
        </w:rPr>
      </w:pPr>
      <w:r w:rsidRPr="00AF0295">
        <w:rPr>
          <w:rFonts w:ascii="Times New Roman" w:hAnsi="Times New Roman"/>
          <w:color w:val="000000" w:themeColor="text1"/>
          <w:sz w:val="24"/>
          <w:szCs w:val="24"/>
          <w:lang w:eastAsia="en-GB" w:bidi="te-IN"/>
        </w:rPr>
        <w:t>RAN2 Email discussions, [Post11</w:t>
      </w:r>
      <w:r w:rsidR="00626A89" w:rsidRPr="00AF0295">
        <w:rPr>
          <w:rFonts w:ascii="Times New Roman" w:hAnsi="Times New Roman"/>
          <w:color w:val="000000" w:themeColor="text1"/>
          <w:sz w:val="24"/>
          <w:szCs w:val="24"/>
          <w:lang w:eastAsia="en-GB" w:bidi="te-IN"/>
        </w:rPr>
        <w:t>2-e][</w:t>
      </w:r>
      <w:r w:rsidR="00CA47C4" w:rsidRPr="00AF0295">
        <w:rPr>
          <w:rFonts w:ascii="Times New Roman" w:hAnsi="Times New Roman"/>
          <w:color w:val="000000" w:themeColor="text1"/>
          <w:sz w:val="24"/>
          <w:szCs w:val="24"/>
          <w:lang w:eastAsia="en-GB" w:bidi="te-IN"/>
        </w:rPr>
        <w:t>066] [</w:t>
      </w:r>
      <w:r w:rsidRPr="00AF0295">
        <w:rPr>
          <w:rFonts w:ascii="Times New Roman" w:hAnsi="Times New Roman"/>
          <w:color w:val="000000" w:themeColor="text1"/>
          <w:sz w:val="24"/>
          <w:szCs w:val="24"/>
          <w:lang w:eastAsia="en-GB" w:bidi="te-IN"/>
        </w:rPr>
        <w:t>eIAB] Topology adaptation (Q</w:t>
      </w:r>
      <w:r w:rsidR="00626A89" w:rsidRPr="00AF0295">
        <w:rPr>
          <w:rFonts w:ascii="Times New Roman" w:hAnsi="Times New Roman"/>
          <w:color w:val="000000" w:themeColor="text1"/>
          <w:sz w:val="24"/>
          <w:szCs w:val="24"/>
          <w:lang w:eastAsia="en-GB" w:bidi="te-IN"/>
        </w:rPr>
        <w:t>C</w:t>
      </w:r>
      <w:r w:rsidRPr="00AF0295">
        <w:rPr>
          <w:rFonts w:ascii="Times New Roman" w:hAnsi="Times New Roman"/>
          <w:color w:val="000000" w:themeColor="text1"/>
          <w:sz w:val="24"/>
          <w:szCs w:val="24"/>
          <w:lang w:eastAsia="en-GB" w:bidi="te-IN"/>
        </w:rPr>
        <w:t>)</w:t>
      </w:r>
    </w:p>
    <w:p w14:paraId="4A8EE984" w14:textId="63484086" w:rsidR="00682662" w:rsidRPr="00AF0295" w:rsidRDefault="006577BA" w:rsidP="006C5DB6">
      <w:pPr>
        <w:numPr>
          <w:ilvl w:val="0"/>
          <w:numId w:val="3"/>
        </w:numPr>
        <w:overflowPunct w:val="0"/>
        <w:autoSpaceDE w:val="0"/>
        <w:autoSpaceDN w:val="0"/>
        <w:adjustRightInd w:val="0"/>
        <w:spacing w:after="120"/>
        <w:jc w:val="both"/>
        <w:textAlignment w:val="baseline"/>
        <w:rPr>
          <w:rFonts w:ascii="Times New Roman" w:hAnsi="Times New Roman"/>
          <w:color w:val="000000" w:themeColor="text1"/>
          <w:sz w:val="24"/>
          <w:szCs w:val="24"/>
          <w:lang w:val="en-GB"/>
        </w:rPr>
      </w:pPr>
      <w:r w:rsidRPr="00AF0295">
        <w:rPr>
          <w:rFonts w:ascii="Times New Roman" w:hAnsi="Times New Roman"/>
          <w:color w:val="000000" w:themeColor="text1"/>
          <w:sz w:val="24"/>
          <w:szCs w:val="24"/>
        </w:rPr>
        <w:t>RAN2#</w:t>
      </w:r>
      <w:r w:rsidR="003C05AE" w:rsidRPr="00AF0295">
        <w:rPr>
          <w:rFonts w:ascii="Times New Roman" w:hAnsi="Times New Roman"/>
          <w:color w:val="000000" w:themeColor="text1"/>
          <w:sz w:val="24"/>
          <w:szCs w:val="24"/>
        </w:rPr>
        <w:t>1</w:t>
      </w:r>
      <w:r w:rsidR="006C5DB6" w:rsidRPr="00AF0295">
        <w:rPr>
          <w:rFonts w:ascii="Times New Roman" w:hAnsi="Times New Roman"/>
          <w:color w:val="000000" w:themeColor="text1"/>
          <w:sz w:val="24"/>
          <w:szCs w:val="24"/>
        </w:rPr>
        <w:t>12-</w:t>
      </w:r>
      <w:r w:rsidR="003C05AE" w:rsidRPr="00AF0295">
        <w:rPr>
          <w:rFonts w:ascii="Times New Roman" w:hAnsi="Times New Roman"/>
          <w:color w:val="000000" w:themeColor="text1"/>
          <w:sz w:val="24"/>
          <w:szCs w:val="24"/>
        </w:rPr>
        <w:t>e</w:t>
      </w:r>
      <w:r w:rsidR="006C5DB6" w:rsidRPr="00AF0295">
        <w:rPr>
          <w:rFonts w:ascii="Times New Roman" w:hAnsi="Times New Roman"/>
          <w:color w:val="000000" w:themeColor="text1"/>
          <w:sz w:val="24"/>
          <w:szCs w:val="24"/>
        </w:rPr>
        <w:t>, Chairman’s Notes, Nov. 2020</w:t>
      </w:r>
    </w:p>
    <w:sectPr w:rsidR="00682662" w:rsidRPr="00AF0295"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D7D6E" w14:textId="77777777" w:rsidR="0041726A" w:rsidRDefault="0041726A">
      <w:r>
        <w:separator/>
      </w:r>
    </w:p>
  </w:endnote>
  <w:endnote w:type="continuationSeparator" w:id="0">
    <w:p w14:paraId="02FB19DD" w14:textId="77777777" w:rsidR="0041726A" w:rsidRDefault="0041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20351" w14:textId="77777777" w:rsidR="0041726A" w:rsidRDefault="0041726A">
      <w:r>
        <w:separator/>
      </w:r>
    </w:p>
  </w:footnote>
  <w:footnote w:type="continuationSeparator" w:id="0">
    <w:p w14:paraId="13C64872" w14:textId="77777777" w:rsidR="0041726A" w:rsidRDefault="00417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0C82C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1A46B8F"/>
    <w:multiLevelType w:val="hybridMultilevel"/>
    <w:tmpl w:val="4E7C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E6C39"/>
    <w:multiLevelType w:val="hybridMultilevel"/>
    <w:tmpl w:val="42A2D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D855B7"/>
    <w:multiLevelType w:val="hybridMultilevel"/>
    <w:tmpl w:val="918E85C6"/>
    <w:lvl w:ilvl="0" w:tplc="A3628046">
      <w:start w:val="5"/>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0BA264E"/>
    <w:multiLevelType w:val="multilevel"/>
    <w:tmpl w:val="5A7E1CA4"/>
    <w:lvl w:ilvl="0">
      <w:start w:val="1"/>
      <w:numFmt w:val="decimal"/>
      <w:pStyle w:val="Heading1"/>
      <w:lvlText w:val="%1"/>
      <w:lvlJc w:val="left"/>
      <w:pPr>
        <w:tabs>
          <w:tab w:val="num" w:pos="432"/>
        </w:tabs>
        <w:ind w:left="432" w:hanging="432"/>
      </w:pPr>
      <w:rPr>
        <w:rFonts w:hint="default"/>
        <w:b w:val="0"/>
        <w:bCs/>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8208C2"/>
    <w:multiLevelType w:val="hybridMultilevel"/>
    <w:tmpl w:val="5C5E0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837FD2"/>
    <w:multiLevelType w:val="hybridMultilevel"/>
    <w:tmpl w:val="F7AE7D3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2"/>
  </w:num>
  <w:num w:numId="8">
    <w:abstractNumId w:val="4"/>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1"/>
    <w:rsid w:val="00012285"/>
    <w:rsid w:val="00013C93"/>
    <w:rsid w:val="00020287"/>
    <w:rsid w:val="00020FFE"/>
    <w:rsid w:val="0002181B"/>
    <w:rsid w:val="0002427E"/>
    <w:rsid w:val="00027BEA"/>
    <w:rsid w:val="00030FA4"/>
    <w:rsid w:val="000343D3"/>
    <w:rsid w:val="000358AD"/>
    <w:rsid w:val="000362CF"/>
    <w:rsid w:val="0004162A"/>
    <w:rsid w:val="00045895"/>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4C99"/>
    <w:rsid w:val="00085943"/>
    <w:rsid w:val="0008686B"/>
    <w:rsid w:val="0009512C"/>
    <w:rsid w:val="0009603A"/>
    <w:rsid w:val="000A0D2F"/>
    <w:rsid w:val="000A20E0"/>
    <w:rsid w:val="000A34CA"/>
    <w:rsid w:val="000A360E"/>
    <w:rsid w:val="000A6DC3"/>
    <w:rsid w:val="000A7088"/>
    <w:rsid w:val="000A7328"/>
    <w:rsid w:val="000A787E"/>
    <w:rsid w:val="000B046A"/>
    <w:rsid w:val="000B2AED"/>
    <w:rsid w:val="000B47D4"/>
    <w:rsid w:val="000B593C"/>
    <w:rsid w:val="000B67D2"/>
    <w:rsid w:val="000C0661"/>
    <w:rsid w:val="000C2CCE"/>
    <w:rsid w:val="000C3430"/>
    <w:rsid w:val="000C4330"/>
    <w:rsid w:val="000C4605"/>
    <w:rsid w:val="000C6C63"/>
    <w:rsid w:val="000D1253"/>
    <w:rsid w:val="000D2C35"/>
    <w:rsid w:val="000E2DC8"/>
    <w:rsid w:val="000E47A9"/>
    <w:rsid w:val="000E6807"/>
    <w:rsid w:val="000E6E1E"/>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7A1"/>
    <w:rsid w:val="00122AD2"/>
    <w:rsid w:val="00127D2C"/>
    <w:rsid w:val="001308CD"/>
    <w:rsid w:val="00130F86"/>
    <w:rsid w:val="00131FBE"/>
    <w:rsid w:val="00134D28"/>
    <w:rsid w:val="00135810"/>
    <w:rsid w:val="00135EC3"/>
    <w:rsid w:val="0013686C"/>
    <w:rsid w:val="00136C0C"/>
    <w:rsid w:val="001405E9"/>
    <w:rsid w:val="00141033"/>
    <w:rsid w:val="001412DA"/>
    <w:rsid w:val="00141635"/>
    <w:rsid w:val="001418FF"/>
    <w:rsid w:val="00142D89"/>
    <w:rsid w:val="00143DE0"/>
    <w:rsid w:val="001460AC"/>
    <w:rsid w:val="00146845"/>
    <w:rsid w:val="00147469"/>
    <w:rsid w:val="00147E07"/>
    <w:rsid w:val="00150EAC"/>
    <w:rsid w:val="0015193A"/>
    <w:rsid w:val="0015199E"/>
    <w:rsid w:val="00157B73"/>
    <w:rsid w:val="00162E02"/>
    <w:rsid w:val="00164767"/>
    <w:rsid w:val="001648FB"/>
    <w:rsid w:val="001656D5"/>
    <w:rsid w:val="001659F2"/>
    <w:rsid w:val="00172C20"/>
    <w:rsid w:val="0018431E"/>
    <w:rsid w:val="001845B1"/>
    <w:rsid w:val="00185C24"/>
    <w:rsid w:val="00191C5C"/>
    <w:rsid w:val="001924EE"/>
    <w:rsid w:val="00192610"/>
    <w:rsid w:val="00194E7F"/>
    <w:rsid w:val="001A139F"/>
    <w:rsid w:val="001A241E"/>
    <w:rsid w:val="001A3300"/>
    <w:rsid w:val="001A47E5"/>
    <w:rsid w:val="001A7903"/>
    <w:rsid w:val="001A7BB7"/>
    <w:rsid w:val="001B1926"/>
    <w:rsid w:val="001B241A"/>
    <w:rsid w:val="001B5A6D"/>
    <w:rsid w:val="001C0ADE"/>
    <w:rsid w:val="001C2FE7"/>
    <w:rsid w:val="001C6BCF"/>
    <w:rsid w:val="001D01C0"/>
    <w:rsid w:val="001D538A"/>
    <w:rsid w:val="001D5744"/>
    <w:rsid w:val="001D5EC7"/>
    <w:rsid w:val="001E1586"/>
    <w:rsid w:val="001E43CB"/>
    <w:rsid w:val="001E6A9C"/>
    <w:rsid w:val="001F13E9"/>
    <w:rsid w:val="001F5CA1"/>
    <w:rsid w:val="001F7CED"/>
    <w:rsid w:val="002013B3"/>
    <w:rsid w:val="002114D0"/>
    <w:rsid w:val="00211629"/>
    <w:rsid w:val="00212767"/>
    <w:rsid w:val="002129BC"/>
    <w:rsid w:val="00212F14"/>
    <w:rsid w:val="00215AB2"/>
    <w:rsid w:val="0021706F"/>
    <w:rsid w:val="00217ECC"/>
    <w:rsid w:val="00221803"/>
    <w:rsid w:val="00221841"/>
    <w:rsid w:val="00224EEE"/>
    <w:rsid w:val="00225E2B"/>
    <w:rsid w:val="00226C55"/>
    <w:rsid w:val="0023429F"/>
    <w:rsid w:val="00236881"/>
    <w:rsid w:val="00241371"/>
    <w:rsid w:val="00241971"/>
    <w:rsid w:val="002437D2"/>
    <w:rsid w:val="00244267"/>
    <w:rsid w:val="002500A8"/>
    <w:rsid w:val="00250587"/>
    <w:rsid w:val="00251CFE"/>
    <w:rsid w:val="00255132"/>
    <w:rsid w:val="00260EC7"/>
    <w:rsid w:val="002733D0"/>
    <w:rsid w:val="00273C32"/>
    <w:rsid w:val="00274E81"/>
    <w:rsid w:val="0027773D"/>
    <w:rsid w:val="00281BCA"/>
    <w:rsid w:val="00283532"/>
    <w:rsid w:val="00283E2E"/>
    <w:rsid w:val="00286831"/>
    <w:rsid w:val="0028711E"/>
    <w:rsid w:val="00290477"/>
    <w:rsid w:val="002950E1"/>
    <w:rsid w:val="00295270"/>
    <w:rsid w:val="00297106"/>
    <w:rsid w:val="002971AA"/>
    <w:rsid w:val="002A0C4F"/>
    <w:rsid w:val="002A16F8"/>
    <w:rsid w:val="002A2E7B"/>
    <w:rsid w:val="002A70F0"/>
    <w:rsid w:val="002B1EE7"/>
    <w:rsid w:val="002B58FA"/>
    <w:rsid w:val="002C1EF6"/>
    <w:rsid w:val="002C3AAC"/>
    <w:rsid w:val="002C4082"/>
    <w:rsid w:val="002C6AEE"/>
    <w:rsid w:val="002C776D"/>
    <w:rsid w:val="002E0414"/>
    <w:rsid w:val="002E083F"/>
    <w:rsid w:val="002E1A79"/>
    <w:rsid w:val="002E4760"/>
    <w:rsid w:val="002F23D1"/>
    <w:rsid w:val="002F3825"/>
    <w:rsid w:val="002F4578"/>
    <w:rsid w:val="002F48F9"/>
    <w:rsid w:val="002F56F3"/>
    <w:rsid w:val="002F703D"/>
    <w:rsid w:val="003008AB"/>
    <w:rsid w:val="00306D5D"/>
    <w:rsid w:val="00310765"/>
    <w:rsid w:val="00314A99"/>
    <w:rsid w:val="00314C05"/>
    <w:rsid w:val="00321A47"/>
    <w:rsid w:val="00322341"/>
    <w:rsid w:val="0032332D"/>
    <w:rsid w:val="00324C91"/>
    <w:rsid w:val="0032761C"/>
    <w:rsid w:val="0033189C"/>
    <w:rsid w:val="00336C95"/>
    <w:rsid w:val="0034374B"/>
    <w:rsid w:val="00346576"/>
    <w:rsid w:val="00351753"/>
    <w:rsid w:val="00352BFE"/>
    <w:rsid w:val="0035547C"/>
    <w:rsid w:val="00361092"/>
    <w:rsid w:val="003730EF"/>
    <w:rsid w:val="0037552C"/>
    <w:rsid w:val="0037629E"/>
    <w:rsid w:val="0037719E"/>
    <w:rsid w:val="00377F25"/>
    <w:rsid w:val="00383177"/>
    <w:rsid w:val="00387975"/>
    <w:rsid w:val="003912C2"/>
    <w:rsid w:val="00393247"/>
    <w:rsid w:val="003932B6"/>
    <w:rsid w:val="00395015"/>
    <w:rsid w:val="003A5C51"/>
    <w:rsid w:val="003B5CD6"/>
    <w:rsid w:val="003C05AE"/>
    <w:rsid w:val="003C1556"/>
    <w:rsid w:val="003C15A7"/>
    <w:rsid w:val="003C1C5D"/>
    <w:rsid w:val="003C50C2"/>
    <w:rsid w:val="003C6BE3"/>
    <w:rsid w:val="003D09AA"/>
    <w:rsid w:val="003D49F3"/>
    <w:rsid w:val="003D7733"/>
    <w:rsid w:val="003E42D0"/>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26A"/>
    <w:rsid w:val="0041785F"/>
    <w:rsid w:val="00422E89"/>
    <w:rsid w:val="00430950"/>
    <w:rsid w:val="00432AFB"/>
    <w:rsid w:val="00432CCD"/>
    <w:rsid w:val="00432CE1"/>
    <w:rsid w:val="00434E88"/>
    <w:rsid w:val="0043515D"/>
    <w:rsid w:val="00436412"/>
    <w:rsid w:val="0043788C"/>
    <w:rsid w:val="00437E7B"/>
    <w:rsid w:val="00445733"/>
    <w:rsid w:val="00445F25"/>
    <w:rsid w:val="00445FD8"/>
    <w:rsid w:val="00446BDF"/>
    <w:rsid w:val="00447C05"/>
    <w:rsid w:val="00451134"/>
    <w:rsid w:val="00451A3A"/>
    <w:rsid w:val="00453B76"/>
    <w:rsid w:val="00455C91"/>
    <w:rsid w:val="004614E0"/>
    <w:rsid w:val="00461E3C"/>
    <w:rsid w:val="00462E26"/>
    <w:rsid w:val="00465DAE"/>
    <w:rsid w:val="004661AB"/>
    <w:rsid w:val="004676FE"/>
    <w:rsid w:val="0047097D"/>
    <w:rsid w:val="004741DA"/>
    <w:rsid w:val="0047500E"/>
    <w:rsid w:val="0047626C"/>
    <w:rsid w:val="00481DBF"/>
    <w:rsid w:val="00482878"/>
    <w:rsid w:val="0048287D"/>
    <w:rsid w:val="0048475F"/>
    <w:rsid w:val="00484B14"/>
    <w:rsid w:val="00485D61"/>
    <w:rsid w:val="00491971"/>
    <w:rsid w:val="004976F2"/>
    <w:rsid w:val="004A5FD9"/>
    <w:rsid w:val="004A6DFA"/>
    <w:rsid w:val="004A7071"/>
    <w:rsid w:val="004A7727"/>
    <w:rsid w:val="004B0216"/>
    <w:rsid w:val="004B04BE"/>
    <w:rsid w:val="004B10DE"/>
    <w:rsid w:val="004B17E2"/>
    <w:rsid w:val="004B4D17"/>
    <w:rsid w:val="004B6AA1"/>
    <w:rsid w:val="004B789E"/>
    <w:rsid w:val="004C38C3"/>
    <w:rsid w:val="004C54BC"/>
    <w:rsid w:val="004C563D"/>
    <w:rsid w:val="004C59F4"/>
    <w:rsid w:val="004C6821"/>
    <w:rsid w:val="004C7383"/>
    <w:rsid w:val="004C74AF"/>
    <w:rsid w:val="004C79A3"/>
    <w:rsid w:val="004D10CC"/>
    <w:rsid w:val="004D1CEB"/>
    <w:rsid w:val="004D55A0"/>
    <w:rsid w:val="004E002D"/>
    <w:rsid w:val="004E135B"/>
    <w:rsid w:val="004E26A8"/>
    <w:rsid w:val="004E2910"/>
    <w:rsid w:val="004E4674"/>
    <w:rsid w:val="004E548A"/>
    <w:rsid w:val="004F4854"/>
    <w:rsid w:val="004F5D6D"/>
    <w:rsid w:val="004F5E44"/>
    <w:rsid w:val="004F5FBA"/>
    <w:rsid w:val="004F6067"/>
    <w:rsid w:val="004F62E1"/>
    <w:rsid w:val="0050109B"/>
    <w:rsid w:val="00501511"/>
    <w:rsid w:val="0050273A"/>
    <w:rsid w:val="005037A1"/>
    <w:rsid w:val="00505AC7"/>
    <w:rsid w:val="005073E2"/>
    <w:rsid w:val="00510DAC"/>
    <w:rsid w:val="00510F0B"/>
    <w:rsid w:val="00513A0A"/>
    <w:rsid w:val="00514C2F"/>
    <w:rsid w:val="005162BA"/>
    <w:rsid w:val="00516650"/>
    <w:rsid w:val="0051782B"/>
    <w:rsid w:val="00517B15"/>
    <w:rsid w:val="0052219A"/>
    <w:rsid w:val="00522CAB"/>
    <w:rsid w:val="005241C8"/>
    <w:rsid w:val="0052581A"/>
    <w:rsid w:val="005268CA"/>
    <w:rsid w:val="00532DB1"/>
    <w:rsid w:val="0053439E"/>
    <w:rsid w:val="00537910"/>
    <w:rsid w:val="00542513"/>
    <w:rsid w:val="005433FA"/>
    <w:rsid w:val="00545B4A"/>
    <w:rsid w:val="00545B6C"/>
    <w:rsid w:val="00550CD4"/>
    <w:rsid w:val="00551D1B"/>
    <w:rsid w:val="00552732"/>
    <w:rsid w:val="00555E44"/>
    <w:rsid w:val="005575FA"/>
    <w:rsid w:val="00560550"/>
    <w:rsid w:val="00564D25"/>
    <w:rsid w:val="00566CF0"/>
    <w:rsid w:val="0057505D"/>
    <w:rsid w:val="00575E8D"/>
    <w:rsid w:val="00583C42"/>
    <w:rsid w:val="00585607"/>
    <w:rsid w:val="00593BA2"/>
    <w:rsid w:val="00594CE5"/>
    <w:rsid w:val="00595087"/>
    <w:rsid w:val="005950C4"/>
    <w:rsid w:val="005A10D4"/>
    <w:rsid w:val="005A247E"/>
    <w:rsid w:val="005A4001"/>
    <w:rsid w:val="005B0E5B"/>
    <w:rsid w:val="005B4B64"/>
    <w:rsid w:val="005B4D63"/>
    <w:rsid w:val="005B7E9E"/>
    <w:rsid w:val="005B7F4C"/>
    <w:rsid w:val="005C16E7"/>
    <w:rsid w:val="005C4644"/>
    <w:rsid w:val="005C65A3"/>
    <w:rsid w:val="005D1894"/>
    <w:rsid w:val="005D2FD4"/>
    <w:rsid w:val="005D4EEC"/>
    <w:rsid w:val="005D6EA6"/>
    <w:rsid w:val="005E0137"/>
    <w:rsid w:val="005E02ED"/>
    <w:rsid w:val="005E3794"/>
    <w:rsid w:val="005E42AD"/>
    <w:rsid w:val="005E5482"/>
    <w:rsid w:val="005E6CA0"/>
    <w:rsid w:val="005E6F22"/>
    <w:rsid w:val="005F2971"/>
    <w:rsid w:val="005F3DF7"/>
    <w:rsid w:val="005F7274"/>
    <w:rsid w:val="005F7968"/>
    <w:rsid w:val="006006CD"/>
    <w:rsid w:val="006021A3"/>
    <w:rsid w:val="00602B94"/>
    <w:rsid w:val="00602F9F"/>
    <w:rsid w:val="0060355C"/>
    <w:rsid w:val="00603CCA"/>
    <w:rsid w:val="00610534"/>
    <w:rsid w:val="0061135E"/>
    <w:rsid w:val="0061230E"/>
    <w:rsid w:val="00612337"/>
    <w:rsid w:val="006149A0"/>
    <w:rsid w:val="006158C9"/>
    <w:rsid w:val="00617339"/>
    <w:rsid w:val="00620158"/>
    <w:rsid w:val="00625E30"/>
    <w:rsid w:val="00626A89"/>
    <w:rsid w:val="00630BF2"/>
    <w:rsid w:val="006326B2"/>
    <w:rsid w:val="00632CE7"/>
    <w:rsid w:val="006332B4"/>
    <w:rsid w:val="0063378E"/>
    <w:rsid w:val="006339DA"/>
    <w:rsid w:val="00634B5D"/>
    <w:rsid w:val="006369A2"/>
    <w:rsid w:val="00643F10"/>
    <w:rsid w:val="006449C9"/>
    <w:rsid w:val="00647526"/>
    <w:rsid w:val="0065698D"/>
    <w:rsid w:val="006577BA"/>
    <w:rsid w:val="00657C7A"/>
    <w:rsid w:val="0066119A"/>
    <w:rsid w:val="00664529"/>
    <w:rsid w:val="00666EB6"/>
    <w:rsid w:val="006677BB"/>
    <w:rsid w:val="0067189C"/>
    <w:rsid w:val="006731F3"/>
    <w:rsid w:val="00674838"/>
    <w:rsid w:val="006763E9"/>
    <w:rsid w:val="00676DAD"/>
    <w:rsid w:val="0068162A"/>
    <w:rsid w:val="00682662"/>
    <w:rsid w:val="00683AFD"/>
    <w:rsid w:val="00684219"/>
    <w:rsid w:val="00685EC0"/>
    <w:rsid w:val="00687898"/>
    <w:rsid w:val="00690466"/>
    <w:rsid w:val="00691624"/>
    <w:rsid w:val="00691AA7"/>
    <w:rsid w:val="006A2575"/>
    <w:rsid w:val="006A3181"/>
    <w:rsid w:val="006A39AE"/>
    <w:rsid w:val="006A39DA"/>
    <w:rsid w:val="006A51E8"/>
    <w:rsid w:val="006A6639"/>
    <w:rsid w:val="006A696F"/>
    <w:rsid w:val="006B2678"/>
    <w:rsid w:val="006B5B69"/>
    <w:rsid w:val="006B5BD4"/>
    <w:rsid w:val="006B6B15"/>
    <w:rsid w:val="006C20C4"/>
    <w:rsid w:val="006C342B"/>
    <w:rsid w:val="006C4555"/>
    <w:rsid w:val="006C53F6"/>
    <w:rsid w:val="006C5DB6"/>
    <w:rsid w:val="006C7836"/>
    <w:rsid w:val="006C7C34"/>
    <w:rsid w:val="006D151A"/>
    <w:rsid w:val="006D1813"/>
    <w:rsid w:val="006D5962"/>
    <w:rsid w:val="006E27D1"/>
    <w:rsid w:val="006E3D9B"/>
    <w:rsid w:val="006E5B76"/>
    <w:rsid w:val="006E7D43"/>
    <w:rsid w:val="006F30A0"/>
    <w:rsid w:val="006F7BD0"/>
    <w:rsid w:val="00703F9C"/>
    <w:rsid w:val="0070422F"/>
    <w:rsid w:val="00704408"/>
    <w:rsid w:val="007045A8"/>
    <w:rsid w:val="00705BE4"/>
    <w:rsid w:val="00712CDD"/>
    <w:rsid w:val="00712DC4"/>
    <w:rsid w:val="0071555E"/>
    <w:rsid w:val="00717D75"/>
    <w:rsid w:val="007215C8"/>
    <w:rsid w:val="00725A44"/>
    <w:rsid w:val="0072629C"/>
    <w:rsid w:val="007269ED"/>
    <w:rsid w:val="0073031A"/>
    <w:rsid w:val="00730790"/>
    <w:rsid w:val="007315B0"/>
    <w:rsid w:val="0073304A"/>
    <w:rsid w:val="00733FF8"/>
    <w:rsid w:val="0073463C"/>
    <w:rsid w:val="00734D32"/>
    <w:rsid w:val="00740114"/>
    <w:rsid w:val="007408D3"/>
    <w:rsid w:val="00745917"/>
    <w:rsid w:val="00750D3B"/>
    <w:rsid w:val="00750E30"/>
    <w:rsid w:val="00755199"/>
    <w:rsid w:val="00756240"/>
    <w:rsid w:val="007613C4"/>
    <w:rsid w:val="0076448F"/>
    <w:rsid w:val="00764CCE"/>
    <w:rsid w:val="00767213"/>
    <w:rsid w:val="00767261"/>
    <w:rsid w:val="007700CC"/>
    <w:rsid w:val="00771C69"/>
    <w:rsid w:val="0077286C"/>
    <w:rsid w:val="00773DC4"/>
    <w:rsid w:val="00776F25"/>
    <w:rsid w:val="00782D8E"/>
    <w:rsid w:val="007837C7"/>
    <w:rsid w:val="00785C65"/>
    <w:rsid w:val="00787E14"/>
    <w:rsid w:val="00797CEE"/>
    <w:rsid w:val="007A0A8B"/>
    <w:rsid w:val="007A4D33"/>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2F22"/>
    <w:rsid w:val="007F4DC3"/>
    <w:rsid w:val="007F72E1"/>
    <w:rsid w:val="008016A0"/>
    <w:rsid w:val="00803D9E"/>
    <w:rsid w:val="00805A8C"/>
    <w:rsid w:val="0081079F"/>
    <w:rsid w:val="00811F16"/>
    <w:rsid w:val="00812433"/>
    <w:rsid w:val="008165F9"/>
    <w:rsid w:val="00816A92"/>
    <w:rsid w:val="00817FB2"/>
    <w:rsid w:val="00825DCB"/>
    <w:rsid w:val="00830043"/>
    <w:rsid w:val="008339AD"/>
    <w:rsid w:val="00834DE3"/>
    <w:rsid w:val="00842FC0"/>
    <w:rsid w:val="008440E1"/>
    <w:rsid w:val="00845C8A"/>
    <w:rsid w:val="00845DEA"/>
    <w:rsid w:val="0084641A"/>
    <w:rsid w:val="00854A01"/>
    <w:rsid w:val="0085607D"/>
    <w:rsid w:val="008576A8"/>
    <w:rsid w:val="0086214F"/>
    <w:rsid w:val="00864238"/>
    <w:rsid w:val="0086541B"/>
    <w:rsid w:val="008751B4"/>
    <w:rsid w:val="00875768"/>
    <w:rsid w:val="00876ABB"/>
    <w:rsid w:val="00882664"/>
    <w:rsid w:val="00884752"/>
    <w:rsid w:val="00887CFE"/>
    <w:rsid w:val="00891598"/>
    <w:rsid w:val="00892BE1"/>
    <w:rsid w:val="00892D87"/>
    <w:rsid w:val="00892FED"/>
    <w:rsid w:val="0089369E"/>
    <w:rsid w:val="0089383E"/>
    <w:rsid w:val="00895159"/>
    <w:rsid w:val="00895B54"/>
    <w:rsid w:val="0089695F"/>
    <w:rsid w:val="008A1794"/>
    <w:rsid w:val="008A5D84"/>
    <w:rsid w:val="008B0834"/>
    <w:rsid w:val="008B2A9D"/>
    <w:rsid w:val="008B2EF8"/>
    <w:rsid w:val="008B36BD"/>
    <w:rsid w:val="008B3CA1"/>
    <w:rsid w:val="008B6436"/>
    <w:rsid w:val="008C226A"/>
    <w:rsid w:val="008C3CEF"/>
    <w:rsid w:val="008C3DE9"/>
    <w:rsid w:val="008C4571"/>
    <w:rsid w:val="008C48B7"/>
    <w:rsid w:val="008C5D0F"/>
    <w:rsid w:val="008D2268"/>
    <w:rsid w:val="008D29D3"/>
    <w:rsid w:val="008D511C"/>
    <w:rsid w:val="008E0B00"/>
    <w:rsid w:val="008E0F4B"/>
    <w:rsid w:val="008E1744"/>
    <w:rsid w:val="008E251D"/>
    <w:rsid w:val="008E78DC"/>
    <w:rsid w:val="008F07DC"/>
    <w:rsid w:val="008F208D"/>
    <w:rsid w:val="008F5EBA"/>
    <w:rsid w:val="008F7D64"/>
    <w:rsid w:val="0090043B"/>
    <w:rsid w:val="00900EED"/>
    <w:rsid w:val="00901AF0"/>
    <w:rsid w:val="00904E7A"/>
    <w:rsid w:val="00910638"/>
    <w:rsid w:val="009123F9"/>
    <w:rsid w:val="00913C74"/>
    <w:rsid w:val="009142B8"/>
    <w:rsid w:val="00914326"/>
    <w:rsid w:val="00915E01"/>
    <w:rsid w:val="00920727"/>
    <w:rsid w:val="009216EB"/>
    <w:rsid w:val="0092484D"/>
    <w:rsid w:val="00926CC2"/>
    <w:rsid w:val="009300B3"/>
    <w:rsid w:val="009300C8"/>
    <w:rsid w:val="0093141D"/>
    <w:rsid w:val="00931710"/>
    <w:rsid w:val="00933789"/>
    <w:rsid w:val="00934AB8"/>
    <w:rsid w:val="009350CE"/>
    <w:rsid w:val="0094047A"/>
    <w:rsid w:val="00943939"/>
    <w:rsid w:val="00946BC1"/>
    <w:rsid w:val="00947EDE"/>
    <w:rsid w:val="00950C93"/>
    <w:rsid w:val="009518A0"/>
    <w:rsid w:val="0095458B"/>
    <w:rsid w:val="00954AEC"/>
    <w:rsid w:val="00955B10"/>
    <w:rsid w:val="00964098"/>
    <w:rsid w:val="00965A11"/>
    <w:rsid w:val="00965FE1"/>
    <w:rsid w:val="009661B0"/>
    <w:rsid w:val="00966569"/>
    <w:rsid w:val="00966906"/>
    <w:rsid w:val="009669EC"/>
    <w:rsid w:val="00967CC9"/>
    <w:rsid w:val="00972AAC"/>
    <w:rsid w:val="00975516"/>
    <w:rsid w:val="009755FB"/>
    <w:rsid w:val="00977BBB"/>
    <w:rsid w:val="00980E13"/>
    <w:rsid w:val="00984FA9"/>
    <w:rsid w:val="00985517"/>
    <w:rsid w:val="00985612"/>
    <w:rsid w:val="009938ED"/>
    <w:rsid w:val="00993E8B"/>
    <w:rsid w:val="009A0FD5"/>
    <w:rsid w:val="009A1476"/>
    <w:rsid w:val="009A2C83"/>
    <w:rsid w:val="009B30B4"/>
    <w:rsid w:val="009B7330"/>
    <w:rsid w:val="009C0ACC"/>
    <w:rsid w:val="009C1512"/>
    <w:rsid w:val="009C38E7"/>
    <w:rsid w:val="009C6E39"/>
    <w:rsid w:val="009D0598"/>
    <w:rsid w:val="009D0E82"/>
    <w:rsid w:val="009D11CF"/>
    <w:rsid w:val="009D3D40"/>
    <w:rsid w:val="009D6008"/>
    <w:rsid w:val="009D725A"/>
    <w:rsid w:val="009E744B"/>
    <w:rsid w:val="009E7C72"/>
    <w:rsid w:val="009F02FA"/>
    <w:rsid w:val="009F139E"/>
    <w:rsid w:val="009F402F"/>
    <w:rsid w:val="009F4449"/>
    <w:rsid w:val="009F567F"/>
    <w:rsid w:val="009F751D"/>
    <w:rsid w:val="00A023A2"/>
    <w:rsid w:val="00A029DE"/>
    <w:rsid w:val="00A02C31"/>
    <w:rsid w:val="00A04AFF"/>
    <w:rsid w:val="00A074E8"/>
    <w:rsid w:val="00A10B08"/>
    <w:rsid w:val="00A10EB9"/>
    <w:rsid w:val="00A11091"/>
    <w:rsid w:val="00A128F5"/>
    <w:rsid w:val="00A1310F"/>
    <w:rsid w:val="00A13AC8"/>
    <w:rsid w:val="00A172D8"/>
    <w:rsid w:val="00A17E18"/>
    <w:rsid w:val="00A20553"/>
    <w:rsid w:val="00A2198A"/>
    <w:rsid w:val="00A22376"/>
    <w:rsid w:val="00A22EF1"/>
    <w:rsid w:val="00A2345D"/>
    <w:rsid w:val="00A24190"/>
    <w:rsid w:val="00A27224"/>
    <w:rsid w:val="00A32754"/>
    <w:rsid w:val="00A3289E"/>
    <w:rsid w:val="00A352A5"/>
    <w:rsid w:val="00A415F5"/>
    <w:rsid w:val="00A42B69"/>
    <w:rsid w:val="00A43E1B"/>
    <w:rsid w:val="00A453BD"/>
    <w:rsid w:val="00A45745"/>
    <w:rsid w:val="00A50249"/>
    <w:rsid w:val="00A51688"/>
    <w:rsid w:val="00A51B8D"/>
    <w:rsid w:val="00A53DB9"/>
    <w:rsid w:val="00A5493A"/>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6359"/>
    <w:rsid w:val="00A87D00"/>
    <w:rsid w:val="00A91674"/>
    <w:rsid w:val="00A9171F"/>
    <w:rsid w:val="00A920F1"/>
    <w:rsid w:val="00A92227"/>
    <w:rsid w:val="00A924B7"/>
    <w:rsid w:val="00AA36EE"/>
    <w:rsid w:val="00AA60EA"/>
    <w:rsid w:val="00AA61B3"/>
    <w:rsid w:val="00AA7495"/>
    <w:rsid w:val="00AB0EC7"/>
    <w:rsid w:val="00AB3D9D"/>
    <w:rsid w:val="00AB5F1A"/>
    <w:rsid w:val="00AB6F51"/>
    <w:rsid w:val="00AB701F"/>
    <w:rsid w:val="00AC0E27"/>
    <w:rsid w:val="00AC615D"/>
    <w:rsid w:val="00AC63CE"/>
    <w:rsid w:val="00AC644A"/>
    <w:rsid w:val="00AD3711"/>
    <w:rsid w:val="00AD4B91"/>
    <w:rsid w:val="00AD5C0D"/>
    <w:rsid w:val="00AE052B"/>
    <w:rsid w:val="00AE55BF"/>
    <w:rsid w:val="00AE57F7"/>
    <w:rsid w:val="00AE7B5F"/>
    <w:rsid w:val="00AF0295"/>
    <w:rsid w:val="00AF188F"/>
    <w:rsid w:val="00AF51F1"/>
    <w:rsid w:val="00AF5EB7"/>
    <w:rsid w:val="00AF6208"/>
    <w:rsid w:val="00AF71DD"/>
    <w:rsid w:val="00B048FA"/>
    <w:rsid w:val="00B04F39"/>
    <w:rsid w:val="00B060D2"/>
    <w:rsid w:val="00B1080E"/>
    <w:rsid w:val="00B11385"/>
    <w:rsid w:val="00B12143"/>
    <w:rsid w:val="00B13B51"/>
    <w:rsid w:val="00B250A0"/>
    <w:rsid w:val="00B250D5"/>
    <w:rsid w:val="00B26CFB"/>
    <w:rsid w:val="00B27B85"/>
    <w:rsid w:val="00B32D49"/>
    <w:rsid w:val="00B33096"/>
    <w:rsid w:val="00B40AF3"/>
    <w:rsid w:val="00B4455E"/>
    <w:rsid w:val="00B4464E"/>
    <w:rsid w:val="00B44CFE"/>
    <w:rsid w:val="00B46189"/>
    <w:rsid w:val="00B52E2A"/>
    <w:rsid w:val="00B53F51"/>
    <w:rsid w:val="00B54454"/>
    <w:rsid w:val="00B5774B"/>
    <w:rsid w:val="00B57B3A"/>
    <w:rsid w:val="00B60BF1"/>
    <w:rsid w:val="00B6314F"/>
    <w:rsid w:val="00B6392E"/>
    <w:rsid w:val="00B63FCB"/>
    <w:rsid w:val="00B6495E"/>
    <w:rsid w:val="00B64AC6"/>
    <w:rsid w:val="00B653C0"/>
    <w:rsid w:val="00B67BA7"/>
    <w:rsid w:val="00B701C2"/>
    <w:rsid w:val="00B71D9F"/>
    <w:rsid w:val="00B71F9E"/>
    <w:rsid w:val="00B73D08"/>
    <w:rsid w:val="00B7554F"/>
    <w:rsid w:val="00B77417"/>
    <w:rsid w:val="00B77EF9"/>
    <w:rsid w:val="00B838B6"/>
    <w:rsid w:val="00B843DF"/>
    <w:rsid w:val="00B85A59"/>
    <w:rsid w:val="00B902EA"/>
    <w:rsid w:val="00B915EA"/>
    <w:rsid w:val="00B92FD5"/>
    <w:rsid w:val="00B93A99"/>
    <w:rsid w:val="00B94AB5"/>
    <w:rsid w:val="00B95CD3"/>
    <w:rsid w:val="00BA0D59"/>
    <w:rsid w:val="00BA16DC"/>
    <w:rsid w:val="00BA1E62"/>
    <w:rsid w:val="00BA23D4"/>
    <w:rsid w:val="00BA633E"/>
    <w:rsid w:val="00BA678B"/>
    <w:rsid w:val="00BB39E9"/>
    <w:rsid w:val="00BC02B0"/>
    <w:rsid w:val="00BC5A41"/>
    <w:rsid w:val="00BC740F"/>
    <w:rsid w:val="00BD0CC3"/>
    <w:rsid w:val="00BD12AC"/>
    <w:rsid w:val="00BD34F9"/>
    <w:rsid w:val="00BD3F77"/>
    <w:rsid w:val="00BD57B1"/>
    <w:rsid w:val="00BD6439"/>
    <w:rsid w:val="00BD64D2"/>
    <w:rsid w:val="00BE19EB"/>
    <w:rsid w:val="00BE4B38"/>
    <w:rsid w:val="00BE4D1B"/>
    <w:rsid w:val="00BF69E7"/>
    <w:rsid w:val="00BF7D26"/>
    <w:rsid w:val="00C02D53"/>
    <w:rsid w:val="00C04BF5"/>
    <w:rsid w:val="00C04DC6"/>
    <w:rsid w:val="00C126DD"/>
    <w:rsid w:val="00C145B6"/>
    <w:rsid w:val="00C16B5A"/>
    <w:rsid w:val="00C20CA4"/>
    <w:rsid w:val="00C20DBD"/>
    <w:rsid w:val="00C253A5"/>
    <w:rsid w:val="00C26256"/>
    <w:rsid w:val="00C3358C"/>
    <w:rsid w:val="00C35252"/>
    <w:rsid w:val="00C36420"/>
    <w:rsid w:val="00C36C06"/>
    <w:rsid w:val="00C370C7"/>
    <w:rsid w:val="00C41466"/>
    <w:rsid w:val="00C430CE"/>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3532"/>
    <w:rsid w:val="00C64B7B"/>
    <w:rsid w:val="00C65DC8"/>
    <w:rsid w:val="00C669E7"/>
    <w:rsid w:val="00C67066"/>
    <w:rsid w:val="00C73834"/>
    <w:rsid w:val="00C7413F"/>
    <w:rsid w:val="00C74C29"/>
    <w:rsid w:val="00C75606"/>
    <w:rsid w:val="00C76248"/>
    <w:rsid w:val="00C7694B"/>
    <w:rsid w:val="00C800BD"/>
    <w:rsid w:val="00C81E71"/>
    <w:rsid w:val="00C827E0"/>
    <w:rsid w:val="00C82B4E"/>
    <w:rsid w:val="00C8780A"/>
    <w:rsid w:val="00C93E26"/>
    <w:rsid w:val="00C953B2"/>
    <w:rsid w:val="00C96A72"/>
    <w:rsid w:val="00C9729B"/>
    <w:rsid w:val="00CA1C76"/>
    <w:rsid w:val="00CA280A"/>
    <w:rsid w:val="00CA315B"/>
    <w:rsid w:val="00CA47C4"/>
    <w:rsid w:val="00CB12B9"/>
    <w:rsid w:val="00CB1753"/>
    <w:rsid w:val="00CB47F1"/>
    <w:rsid w:val="00CC00D8"/>
    <w:rsid w:val="00CC1A11"/>
    <w:rsid w:val="00CC1F1A"/>
    <w:rsid w:val="00CC2C63"/>
    <w:rsid w:val="00CC308A"/>
    <w:rsid w:val="00CC466B"/>
    <w:rsid w:val="00CC5C27"/>
    <w:rsid w:val="00CC6376"/>
    <w:rsid w:val="00CC68A1"/>
    <w:rsid w:val="00CD51AF"/>
    <w:rsid w:val="00CD566B"/>
    <w:rsid w:val="00CD67B3"/>
    <w:rsid w:val="00CE3462"/>
    <w:rsid w:val="00CE373D"/>
    <w:rsid w:val="00CE5044"/>
    <w:rsid w:val="00CE749A"/>
    <w:rsid w:val="00CF0562"/>
    <w:rsid w:val="00CF1B9A"/>
    <w:rsid w:val="00CF2221"/>
    <w:rsid w:val="00D043A7"/>
    <w:rsid w:val="00D0646A"/>
    <w:rsid w:val="00D1043B"/>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292B"/>
    <w:rsid w:val="00D53C43"/>
    <w:rsid w:val="00D55275"/>
    <w:rsid w:val="00D56465"/>
    <w:rsid w:val="00D565E3"/>
    <w:rsid w:val="00D56A5F"/>
    <w:rsid w:val="00D60A8B"/>
    <w:rsid w:val="00D63F57"/>
    <w:rsid w:val="00D64441"/>
    <w:rsid w:val="00D74E12"/>
    <w:rsid w:val="00D81F6F"/>
    <w:rsid w:val="00D82E74"/>
    <w:rsid w:val="00D85726"/>
    <w:rsid w:val="00D87F0D"/>
    <w:rsid w:val="00D92185"/>
    <w:rsid w:val="00D936ED"/>
    <w:rsid w:val="00D95D58"/>
    <w:rsid w:val="00D97D81"/>
    <w:rsid w:val="00DA0B51"/>
    <w:rsid w:val="00DA2AF7"/>
    <w:rsid w:val="00DA37FA"/>
    <w:rsid w:val="00DA42FF"/>
    <w:rsid w:val="00DB17A3"/>
    <w:rsid w:val="00DB23C6"/>
    <w:rsid w:val="00DB3F22"/>
    <w:rsid w:val="00DB4026"/>
    <w:rsid w:val="00DB4F7D"/>
    <w:rsid w:val="00DB5BC6"/>
    <w:rsid w:val="00DB66D3"/>
    <w:rsid w:val="00DC1553"/>
    <w:rsid w:val="00DC6CF6"/>
    <w:rsid w:val="00DD43B0"/>
    <w:rsid w:val="00DD5520"/>
    <w:rsid w:val="00DD7378"/>
    <w:rsid w:val="00DE27BC"/>
    <w:rsid w:val="00DE5650"/>
    <w:rsid w:val="00DE6127"/>
    <w:rsid w:val="00DF0630"/>
    <w:rsid w:val="00DF2ACA"/>
    <w:rsid w:val="00DF4333"/>
    <w:rsid w:val="00E004A6"/>
    <w:rsid w:val="00E005F2"/>
    <w:rsid w:val="00E0108F"/>
    <w:rsid w:val="00E043CB"/>
    <w:rsid w:val="00E045D3"/>
    <w:rsid w:val="00E12F01"/>
    <w:rsid w:val="00E1349E"/>
    <w:rsid w:val="00E1451D"/>
    <w:rsid w:val="00E16784"/>
    <w:rsid w:val="00E20796"/>
    <w:rsid w:val="00E21216"/>
    <w:rsid w:val="00E2135F"/>
    <w:rsid w:val="00E23A9B"/>
    <w:rsid w:val="00E24388"/>
    <w:rsid w:val="00E2438D"/>
    <w:rsid w:val="00E24A3F"/>
    <w:rsid w:val="00E30676"/>
    <w:rsid w:val="00E331C0"/>
    <w:rsid w:val="00E34134"/>
    <w:rsid w:val="00E34263"/>
    <w:rsid w:val="00E35947"/>
    <w:rsid w:val="00E36CB2"/>
    <w:rsid w:val="00E37830"/>
    <w:rsid w:val="00E40F04"/>
    <w:rsid w:val="00E4114E"/>
    <w:rsid w:val="00E45476"/>
    <w:rsid w:val="00E4668E"/>
    <w:rsid w:val="00E4685A"/>
    <w:rsid w:val="00E46AF8"/>
    <w:rsid w:val="00E479AC"/>
    <w:rsid w:val="00E47D4D"/>
    <w:rsid w:val="00E558C9"/>
    <w:rsid w:val="00E60BBB"/>
    <w:rsid w:val="00E63B32"/>
    <w:rsid w:val="00E64E02"/>
    <w:rsid w:val="00E6616F"/>
    <w:rsid w:val="00E7058B"/>
    <w:rsid w:val="00E735C3"/>
    <w:rsid w:val="00E76059"/>
    <w:rsid w:val="00E852A2"/>
    <w:rsid w:val="00E87830"/>
    <w:rsid w:val="00E92C32"/>
    <w:rsid w:val="00E95697"/>
    <w:rsid w:val="00E95D22"/>
    <w:rsid w:val="00EA2B3C"/>
    <w:rsid w:val="00EA3A5B"/>
    <w:rsid w:val="00EA66DC"/>
    <w:rsid w:val="00EA6F5F"/>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D7608"/>
    <w:rsid w:val="00EE126B"/>
    <w:rsid w:val="00EE452E"/>
    <w:rsid w:val="00EE73FF"/>
    <w:rsid w:val="00EE7973"/>
    <w:rsid w:val="00EF00A5"/>
    <w:rsid w:val="00EF0AF6"/>
    <w:rsid w:val="00EF14AE"/>
    <w:rsid w:val="00EF2136"/>
    <w:rsid w:val="00EF3564"/>
    <w:rsid w:val="00EF3F7D"/>
    <w:rsid w:val="00EF784D"/>
    <w:rsid w:val="00F0507B"/>
    <w:rsid w:val="00F062AA"/>
    <w:rsid w:val="00F06658"/>
    <w:rsid w:val="00F06A51"/>
    <w:rsid w:val="00F117AC"/>
    <w:rsid w:val="00F120D3"/>
    <w:rsid w:val="00F124D1"/>
    <w:rsid w:val="00F12774"/>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FB7"/>
    <w:rsid w:val="00F51F15"/>
    <w:rsid w:val="00F52E3A"/>
    <w:rsid w:val="00F53015"/>
    <w:rsid w:val="00F53BE2"/>
    <w:rsid w:val="00F558B4"/>
    <w:rsid w:val="00F55A37"/>
    <w:rsid w:val="00F57D1D"/>
    <w:rsid w:val="00F611EB"/>
    <w:rsid w:val="00F65255"/>
    <w:rsid w:val="00F711E2"/>
    <w:rsid w:val="00F726B8"/>
    <w:rsid w:val="00F8408F"/>
    <w:rsid w:val="00F906EF"/>
    <w:rsid w:val="00F9288C"/>
    <w:rsid w:val="00F934C1"/>
    <w:rsid w:val="00FA057E"/>
    <w:rsid w:val="00FA1742"/>
    <w:rsid w:val="00FA239A"/>
    <w:rsid w:val="00FA27C0"/>
    <w:rsid w:val="00FA4143"/>
    <w:rsid w:val="00FA62B9"/>
    <w:rsid w:val="00FA6414"/>
    <w:rsid w:val="00FA69D3"/>
    <w:rsid w:val="00FA7C74"/>
    <w:rsid w:val="00FB00A5"/>
    <w:rsid w:val="00FB022C"/>
    <w:rsid w:val="00FB3892"/>
    <w:rsid w:val="00FB4C7C"/>
    <w:rsid w:val="00FB6C5D"/>
    <w:rsid w:val="00FC118E"/>
    <w:rsid w:val="00FC1207"/>
    <w:rsid w:val="00FC2706"/>
    <w:rsid w:val="00FC4BB5"/>
    <w:rsid w:val="00FC6860"/>
    <w:rsid w:val="00FD1A35"/>
    <w:rsid w:val="00FD1C75"/>
    <w:rsid w:val="00FD21BC"/>
    <w:rsid w:val="00FD294B"/>
    <w:rsid w:val="00FD304B"/>
    <w:rsid w:val="00FD3909"/>
    <w:rsid w:val="00FD4EAB"/>
    <w:rsid w:val="00FE55CD"/>
    <w:rsid w:val="00FE6CA4"/>
    <w:rsid w:val="00FE7F8A"/>
    <w:rsid w:val="00FF68E9"/>
    <w:rsid w:val="00FF6AD0"/>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 w:type="character" w:customStyle="1" w:styleId="apple-converted-space">
    <w:name w:val="apple-converted-space"/>
    <w:basedOn w:val="DefaultParagraphFont"/>
    <w:rsid w:val="00453B76"/>
  </w:style>
  <w:style w:type="paragraph" w:customStyle="1" w:styleId="pbody">
    <w:name w:val="pbody"/>
    <w:basedOn w:val="Normal"/>
    <w:rsid w:val="00453B76"/>
    <w:pPr>
      <w:spacing w:before="100" w:beforeAutospacing="1" w:after="100" w:afterAutospacing="1"/>
    </w:pPr>
    <w:rPr>
      <w:rFonts w:ascii="Times New Roman" w:eastAsia="Times New Roman" w:hAnsi="Times New Roman"/>
      <w:sz w:val="24"/>
      <w:szCs w:val="24"/>
      <w:lang w:eastAsia="zh-CN" w:bidi="te-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905644557">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50433305">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
    <w:div w:id="1812138711">
      <w:bodyDiv w:val="1"/>
      <w:marLeft w:val="0"/>
      <w:marRight w:val="0"/>
      <w:marTop w:val="0"/>
      <w:marBottom w:val="0"/>
      <w:divBdr>
        <w:top w:val="none" w:sz="0" w:space="0" w:color="auto"/>
        <w:left w:val="none" w:sz="0" w:space="0" w:color="auto"/>
        <w:bottom w:val="none" w:sz="0" w:space="0" w:color="auto"/>
        <w:right w:val="none" w:sz="0" w:space="0" w:color="auto"/>
      </w:divBdr>
      <w:divsChild>
        <w:div w:id="722870637">
          <w:marLeft w:val="0"/>
          <w:marRight w:val="0"/>
          <w:marTop w:val="240"/>
          <w:marBottom w:val="120"/>
          <w:divBdr>
            <w:top w:val="none" w:sz="0" w:space="0" w:color="auto"/>
            <w:left w:val="none" w:sz="0" w:space="0" w:color="auto"/>
            <w:bottom w:val="none" w:sz="0" w:space="0" w:color="auto"/>
            <w:right w:val="none" w:sz="0" w:space="0" w:color="auto"/>
          </w:divBdr>
        </w:div>
        <w:div w:id="1729183631">
          <w:marLeft w:val="0"/>
          <w:marRight w:val="0"/>
          <w:marTop w:val="240"/>
          <w:marBottom w:val="12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55464F-A80F-2D44-A1ED-20809BB16B7E}">
  <ds:schemaRefs>
    <ds:schemaRef ds:uri="http://schemas.openxmlformats.org/officeDocument/2006/bibliography"/>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 Inc</cp:lastModifiedBy>
  <cp:revision>34</cp:revision>
  <cp:lastPrinted>2009-10-21T14:47:00Z</cp:lastPrinted>
  <dcterms:created xsi:type="dcterms:W3CDTF">2020-10-21T06:10:00Z</dcterms:created>
  <dcterms:modified xsi:type="dcterms:W3CDTF">2021-04-02T01:45:00Z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